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56" w:type="dxa"/>
        <w:tblInd w:w="108" w:type="dxa"/>
        <w:tblLayout w:type="fixed"/>
        <w:tblLook w:val="0000"/>
      </w:tblPr>
      <w:tblGrid>
        <w:gridCol w:w="2880"/>
        <w:gridCol w:w="6476"/>
      </w:tblGrid>
      <w:tr w:rsidR="00257EDD" w:rsidRPr="003E5DA2" w:rsidTr="00257EDD">
        <w:tc>
          <w:tcPr>
            <w:tcW w:w="2880" w:type="dxa"/>
          </w:tcPr>
          <w:p w:rsidR="00257EDD" w:rsidRPr="00257EDD" w:rsidRDefault="00257EDD" w:rsidP="00257EDD">
            <w:pPr>
              <w:widowControl w:val="0"/>
              <w:tabs>
                <w:tab w:val="right" w:leader="dot" w:pos="8640"/>
              </w:tabs>
              <w:spacing w:after="0" w:line="240" w:lineRule="auto"/>
              <w:jc w:val="center"/>
              <w:rPr>
                <w:rFonts w:ascii="Times New Roman" w:hAnsi="Times New Roman" w:cs="Times New Roman"/>
                <w:b/>
                <w:noProof/>
                <w:sz w:val="28"/>
                <w:szCs w:val="28"/>
              </w:rPr>
            </w:pPr>
            <w:r w:rsidRPr="00257EDD">
              <w:rPr>
                <w:rFonts w:ascii="Times New Roman" w:hAnsi="Times New Roman" w:cs="Times New Roman"/>
                <w:b/>
                <w:noProof/>
                <w:sz w:val="28"/>
                <w:szCs w:val="28"/>
              </w:rPr>
              <w:t>BỘ TÀI CHÍNH</w:t>
            </w:r>
          </w:p>
          <w:p w:rsidR="00257EDD" w:rsidRPr="00257EDD" w:rsidRDefault="00257EDD" w:rsidP="009A5D14">
            <w:pPr>
              <w:widowControl w:val="0"/>
              <w:tabs>
                <w:tab w:val="right" w:leader="dot" w:pos="8640"/>
              </w:tabs>
              <w:spacing w:after="0" w:line="240" w:lineRule="auto"/>
              <w:jc w:val="center"/>
              <w:rPr>
                <w:rFonts w:ascii="Times New Roman" w:hAnsi="Times New Roman" w:cs="Times New Roman"/>
                <w:b/>
                <w:noProof/>
                <w:sz w:val="28"/>
                <w:szCs w:val="28"/>
              </w:rPr>
            </w:pPr>
            <w:r w:rsidRPr="00257EDD">
              <w:rPr>
                <w:rFonts w:ascii="Times New Roman" w:hAnsi="Times New Roman" w:cs="Times New Roman"/>
                <w:b/>
                <w:noProof/>
                <w:sz w:val="28"/>
                <w:szCs w:val="28"/>
              </w:rPr>
              <w:t xml:space="preserve">—— </w:t>
            </w:r>
          </w:p>
        </w:tc>
        <w:tc>
          <w:tcPr>
            <w:tcW w:w="6476" w:type="dxa"/>
          </w:tcPr>
          <w:p w:rsidR="00257EDD" w:rsidRPr="00257EDD" w:rsidRDefault="00257EDD" w:rsidP="00257EDD">
            <w:pPr>
              <w:widowControl w:val="0"/>
              <w:tabs>
                <w:tab w:val="right" w:leader="dot" w:pos="8640"/>
              </w:tabs>
              <w:spacing w:after="0" w:line="240" w:lineRule="auto"/>
              <w:jc w:val="center"/>
              <w:rPr>
                <w:rFonts w:ascii="Times New Roman" w:hAnsi="Times New Roman" w:cs="Times New Roman"/>
                <w:b/>
                <w:sz w:val="26"/>
                <w:szCs w:val="26"/>
              </w:rPr>
            </w:pPr>
            <w:r w:rsidRPr="00257EDD">
              <w:rPr>
                <w:rFonts w:ascii="Times New Roman" w:hAnsi="Times New Roman" w:cs="Times New Roman"/>
                <w:b/>
                <w:sz w:val="26"/>
                <w:szCs w:val="26"/>
              </w:rPr>
              <w:t>CỘNG HOÀ XÃ HỘI CHỦ NGHĨA VIỆT NAM</w:t>
            </w:r>
          </w:p>
          <w:p w:rsidR="00257EDD" w:rsidRPr="00257EDD" w:rsidRDefault="00257EDD" w:rsidP="00257EDD">
            <w:pPr>
              <w:widowControl w:val="0"/>
              <w:tabs>
                <w:tab w:val="right" w:leader="dot" w:pos="8640"/>
              </w:tabs>
              <w:spacing w:after="0" w:line="240" w:lineRule="auto"/>
              <w:jc w:val="center"/>
              <w:rPr>
                <w:rFonts w:ascii="Times New Roman" w:hAnsi="Times New Roman" w:cs="Times New Roman"/>
                <w:b/>
                <w:sz w:val="26"/>
                <w:szCs w:val="26"/>
              </w:rPr>
            </w:pPr>
            <w:r w:rsidRPr="00257EDD">
              <w:rPr>
                <w:rFonts w:ascii="Times New Roman" w:hAnsi="Times New Roman" w:cs="Times New Roman"/>
                <w:b/>
                <w:sz w:val="26"/>
                <w:szCs w:val="26"/>
              </w:rPr>
              <w:t>Độc lập - Tự do - Hạnh phúc</w:t>
            </w:r>
          </w:p>
          <w:p w:rsidR="00257EDD" w:rsidRPr="00257EDD" w:rsidRDefault="00257EDD" w:rsidP="00257EDD">
            <w:pPr>
              <w:widowControl w:val="0"/>
              <w:tabs>
                <w:tab w:val="right" w:leader="dot" w:pos="8640"/>
              </w:tabs>
              <w:spacing w:after="0" w:line="240" w:lineRule="auto"/>
              <w:jc w:val="center"/>
              <w:rPr>
                <w:rFonts w:ascii="Times New Roman" w:hAnsi="Times New Roman" w:cs="Times New Roman"/>
                <w:b/>
                <w:sz w:val="26"/>
                <w:szCs w:val="26"/>
              </w:rPr>
            </w:pPr>
            <w:r w:rsidRPr="00257EDD">
              <w:rPr>
                <w:rFonts w:ascii="Times New Roman" w:hAnsi="Times New Roman" w:cs="Times New Roman"/>
                <w:b/>
                <w:sz w:val="26"/>
                <w:szCs w:val="26"/>
              </w:rPr>
              <w:t>———————————</w:t>
            </w:r>
          </w:p>
        </w:tc>
      </w:tr>
      <w:tr w:rsidR="00257EDD" w:rsidRPr="00257EDD" w:rsidTr="00257EDD">
        <w:tc>
          <w:tcPr>
            <w:tcW w:w="2880" w:type="dxa"/>
          </w:tcPr>
          <w:p w:rsidR="00257EDD" w:rsidRPr="009A5D14" w:rsidRDefault="00932837" w:rsidP="00190B4E">
            <w:pPr>
              <w:widowControl w:val="0"/>
              <w:tabs>
                <w:tab w:val="right" w:leader="dot" w:pos="8640"/>
              </w:tabs>
              <w:spacing w:before="60" w:after="0" w:line="240" w:lineRule="auto"/>
              <w:jc w:val="center"/>
              <w:rPr>
                <w:rFonts w:ascii="Times New Roman" w:hAnsi="Times New Roman" w:cs="Times New Roman"/>
                <w:noProof/>
                <w:sz w:val="26"/>
                <w:szCs w:val="26"/>
              </w:rPr>
            </w:pPr>
            <w:r>
              <w:rPr>
                <w:rFonts w:ascii="Times New Roman" w:hAnsi="Times New Roman" w:cs="Times New Roman"/>
                <w:noProof/>
                <w:sz w:val="26"/>
                <w:szCs w:val="26"/>
              </w:rPr>
              <w:t>Số:</w:t>
            </w:r>
            <w:r w:rsidR="00190B4E">
              <w:rPr>
                <w:rFonts w:ascii="Times New Roman" w:hAnsi="Times New Roman" w:cs="Times New Roman"/>
                <w:noProof/>
                <w:sz w:val="26"/>
                <w:szCs w:val="26"/>
              </w:rPr>
              <w:t xml:space="preserve"> 776</w:t>
            </w:r>
            <w:r>
              <w:rPr>
                <w:rFonts w:ascii="Times New Roman" w:hAnsi="Times New Roman" w:cs="Times New Roman"/>
                <w:noProof/>
                <w:sz w:val="26"/>
                <w:szCs w:val="26"/>
              </w:rPr>
              <w:t>/BC-BTC</w:t>
            </w:r>
          </w:p>
        </w:tc>
        <w:tc>
          <w:tcPr>
            <w:tcW w:w="6476" w:type="dxa"/>
          </w:tcPr>
          <w:p w:rsidR="00257EDD" w:rsidRPr="006B43A6" w:rsidRDefault="007E0B64" w:rsidP="00190B4E">
            <w:pPr>
              <w:widowControl w:val="0"/>
              <w:tabs>
                <w:tab w:val="right" w:leader="dot" w:pos="8640"/>
              </w:tabs>
              <w:spacing w:after="0" w:line="240" w:lineRule="auto"/>
              <w:jc w:val="center"/>
              <w:rPr>
                <w:rFonts w:ascii="Times New Roman" w:hAnsi="Times New Roman" w:cs="Times New Roman"/>
                <w:i/>
                <w:sz w:val="28"/>
                <w:szCs w:val="28"/>
              </w:rPr>
            </w:pPr>
            <w:r w:rsidRPr="007E0B64">
              <w:rPr>
                <w:rFonts w:ascii="Times New Roman" w:hAnsi="Times New Roman" w:cs="Times New Roman"/>
                <w:i/>
                <w:sz w:val="28"/>
                <w:szCs w:val="28"/>
              </w:rPr>
              <w:t xml:space="preserve">Hà Nội, ngày </w:t>
            </w:r>
            <w:r w:rsidR="00190B4E">
              <w:rPr>
                <w:rFonts w:ascii="Times New Roman" w:hAnsi="Times New Roman" w:cs="Times New Roman"/>
                <w:i/>
                <w:sz w:val="28"/>
                <w:szCs w:val="28"/>
              </w:rPr>
              <w:t>15</w:t>
            </w:r>
            <w:r w:rsidRPr="007E0B64">
              <w:rPr>
                <w:rFonts w:ascii="Times New Roman" w:hAnsi="Times New Roman" w:cs="Times New Roman"/>
                <w:i/>
                <w:sz w:val="28"/>
                <w:szCs w:val="28"/>
              </w:rPr>
              <w:t xml:space="preserve"> tháng </w:t>
            </w:r>
            <w:r w:rsidR="00190B4E">
              <w:rPr>
                <w:rFonts w:ascii="Times New Roman" w:hAnsi="Times New Roman" w:cs="Times New Roman"/>
                <w:i/>
                <w:sz w:val="28"/>
                <w:szCs w:val="28"/>
              </w:rPr>
              <w:t>12</w:t>
            </w:r>
            <w:r w:rsidRPr="007E0B64">
              <w:rPr>
                <w:rFonts w:ascii="Times New Roman" w:hAnsi="Times New Roman" w:cs="Times New Roman"/>
                <w:i/>
                <w:sz w:val="28"/>
                <w:szCs w:val="28"/>
              </w:rPr>
              <w:t xml:space="preserve"> năm </w:t>
            </w:r>
            <w:r w:rsidR="00B8302C">
              <w:rPr>
                <w:rFonts w:ascii="Times New Roman" w:hAnsi="Times New Roman" w:cs="Times New Roman"/>
                <w:i/>
                <w:sz w:val="28"/>
                <w:szCs w:val="28"/>
              </w:rPr>
              <w:t xml:space="preserve">2025  </w:t>
            </w:r>
          </w:p>
        </w:tc>
      </w:tr>
    </w:tbl>
    <w:p w:rsidR="00DF2AA3" w:rsidRPr="00DF2AA3" w:rsidRDefault="00DF2AA3" w:rsidP="00DF2AA3">
      <w:pPr>
        <w:tabs>
          <w:tab w:val="right" w:leader="dot" w:pos="8640"/>
        </w:tabs>
        <w:spacing w:before="120"/>
        <w:jc w:val="both"/>
        <w:rPr>
          <w:rFonts w:ascii="Times New Roman" w:hAnsi="Times New Roman" w:cs="Times New Roman"/>
          <w:b/>
          <w:sz w:val="28"/>
          <w:szCs w:val="28"/>
          <w:lang w:val="vi-VN"/>
        </w:rPr>
      </w:pPr>
    </w:p>
    <w:p w:rsidR="00932837" w:rsidRDefault="005F7C31" w:rsidP="00D540D2">
      <w:pPr>
        <w:spacing w:after="0" w:line="240" w:lineRule="auto"/>
        <w:jc w:val="center"/>
        <w:outlineLvl w:val="0"/>
        <w:rPr>
          <w:rFonts w:ascii="Times New Roman" w:hAnsi="Times New Roman" w:cs="Times New Roman"/>
          <w:b/>
          <w:sz w:val="26"/>
          <w:szCs w:val="26"/>
        </w:rPr>
      </w:pPr>
      <w:r w:rsidRPr="005F7C31">
        <w:rPr>
          <w:rFonts w:ascii="Times New Roman" w:hAnsi="Times New Roman" w:cs="Times New Roman"/>
          <w:b/>
          <w:sz w:val="26"/>
          <w:szCs w:val="26"/>
        </w:rPr>
        <w:t>B</w:t>
      </w:r>
      <w:r w:rsidR="00932837">
        <w:rPr>
          <w:rFonts w:ascii="Times New Roman" w:hAnsi="Times New Roman" w:cs="Times New Roman"/>
          <w:b/>
          <w:sz w:val="26"/>
          <w:szCs w:val="26"/>
        </w:rPr>
        <w:t xml:space="preserve">ÁO CÁO </w:t>
      </w:r>
    </w:p>
    <w:p w:rsidR="00CD0ED1" w:rsidRPr="004F7607" w:rsidRDefault="00932837" w:rsidP="00932837">
      <w:pPr>
        <w:spacing w:after="0" w:line="240" w:lineRule="auto"/>
        <w:jc w:val="center"/>
        <w:outlineLvl w:val="0"/>
        <w:rPr>
          <w:rFonts w:ascii="Times New Roman" w:hAnsi="Times New Roman" w:cs="Times New Roman"/>
          <w:i/>
          <w:iCs/>
          <w:sz w:val="28"/>
          <w:szCs w:val="28"/>
          <w:lang w:val="vi-VN"/>
        </w:rPr>
      </w:pPr>
      <w:r w:rsidRPr="00932837">
        <w:rPr>
          <w:rFonts w:ascii="Times New Roman" w:hAnsi="Times New Roman" w:cs="Times New Roman"/>
          <w:b/>
          <w:sz w:val="28"/>
          <w:szCs w:val="26"/>
        </w:rPr>
        <w:t xml:space="preserve">Tổng kết việc thi hành </w:t>
      </w:r>
      <w:r w:rsidR="0064102A" w:rsidRPr="004F7607">
        <w:rPr>
          <w:rFonts w:ascii="Times New Roman" w:hAnsi="Times New Roman" w:cs="Times New Roman"/>
          <w:b/>
          <w:sz w:val="28"/>
          <w:szCs w:val="28"/>
          <w:lang w:val="vi-VN"/>
        </w:rPr>
        <w:t xml:space="preserve">Nghị định số </w:t>
      </w:r>
      <w:r w:rsidR="00CD0ED1">
        <w:rPr>
          <w:rFonts w:ascii="Times New Roman" w:hAnsi="Times New Roman" w:cs="Times New Roman"/>
          <w:b/>
          <w:sz w:val="28"/>
          <w:szCs w:val="28"/>
        </w:rPr>
        <w:t>88/2016/NĐ-CP ngày 1/7/2016 của Chính phủ về chương trình hưu trí bổ sung tự nguyện</w:t>
      </w:r>
    </w:p>
    <w:p w:rsidR="00DF2AA3" w:rsidRDefault="00CD12A1" w:rsidP="00DF2AA3">
      <w:pPr>
        <w:spacing w:after="0" w:line="240" w:lineRule="auto"/>
        <w:jc w:val="center"/>
        <w:rPr>
          <w:rFonts w:ascii="Times New Roman" w:hAnsi="Times New Roman" w:cs="Times New Roman"/>
          <w:i/>
          <w:iCs/>
          <w:sz w:val="28"/>
          <w:szCs w:val="28"/>
          <w:lang w:val="vi-VN"/>
        </w:rPr>
      </w:pPr>
      <w:r>
        <w:rPr>
          <w:rFonts w:ascii="Times New Roman" w:hAnsi="Times New Roman" w:cs="Times New Roman"/>
          <w:i/>
          <w:iCs/>
          <w:noProof/>
          <w:sz w:val="28"/>
          <w:szCs w:val="28"/>
        </w:rPr>
        <w:pict>
          <v:shapetype id="_x0000_t32" coordsize="21600,21600" o:spt="32" o:oned="t" path="m,l21600,21600e" filled="f">
            <v:path arrowok="t" fillok="f" o:connecttype="none"/>
            <o:lock v:ext="edit" shapetype="t"/>
          </v:shapetype>
          <v:shape id="AutoShape 4" o:spid="_x0000_s1026" type="#_x0000_t32" style="position:absolute;left:0;text-align:left;margin-left:160.95pt;margin-top:11.05pt;width:146.25pt;height:0;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"/>
        </w:pict>
      </w:r>
    </w:p>
    <w:p w:rsidR="00447133" w:rsidRDefault="00447133" w:rsidP="00C30D89">
      <w:pPr>
        <w:widowControl w:val="0"/>
        <w:spacing w:before="120" w:after="120" w:line="340" w:lineRule="exact"/>
        <w:jc w:val="both"/>
        <w:rPr>
          <w:rFonts w:ascii="Times New Roman" w:hAnsi="Times New Roman" w:cs="Times New Roman"/>
          <w:i/>
          <w:iCs/>
          <w:sz w:val="28"/>
          <w:szCs w:val="28"/>
          <w:lang w:val="vi-VN"/>
        </w:rPr>
      </w:pPr>
    </w:p>
    <w:p w:rsidR="00E468F9" w:rsidRDefault="00E468F9" w:rsidP="00E12BD9">
      <w:pPr>
        <w:widowControl w:val="0"/>
        <w:spacing w:before="100" w:after="100" w:line="340" w:lineRule="exact"/>
        <w:ind w:firstLine="720"/>
        <w:jc w:val="both"/>
        <w:rPr>
          <w:rFonts w:ascii="Times New Roman" w:hAnsi="Times New Roman" w:cs="Times New Roman"/>
          <w:iCs/>
          <w:sz w:val="28"/>
          <w:szCs w:val="28"/>
        </w:rPr>
      </w:pPr>
      <w:r w:rsidRPr="00E468F9">
        <w:rPr>
          <w:rFonts w:ascii="Times New Roman" w:hAnsi="Times New Roman" w:cs="Times New Roman"/>
          <w:iCs/>
          <w:sz w:val="28"/>
          <w:szCs w:val="28"/>
        </w:rPr>
        <w:t>Thực hiện quy định của </w:t>
      </w:r>
      <w:bookmarkStart w:id="0" w:name="tvpllink_vljtiegwee_5"/>
      <w:r w:rsidR="00CD12A1" w:rsidRPr="00E468F9">
        <w:rPr>
          <w:rFonts w:ascii="Times New Roman" w:hAnsi="Times New Roman" w:cs="Times New Roman"/>
          <w:iCs/>
          <w:sz w:val="28"/>
          <w:szCs w:val="28"/>
        </w:rPr>
        <w:fldChar w:fldCharType="begin"/>
      </w:r>
      <w:r w:rsidRPr="00E468F9">
        <w:rPr>
          <w:rFonts w:ascii="Times New Roman" w:hAnsi="Times New Roman" w:cs="Times New Roman"/>
          <w:iCs/>
          <w:sz w:val="28"/>
          <w:szCs w:val="28"/>
        </w:rPr>
        <w:instrText xml:space="preserve"> HYPERLINK "https://thuvienphapluat.vn/van-ban/Bo-may-hanh-chinh/Luat-ban-hanh-van-ban-quy-pham-phap-luat-2015-282382.aspx" \t "_blank" </w:instrText>
      </w:r>
      <w:r w:rsidR="00CD12A1" w:rsidRPr="00E468F9">
        <w:rPr>
          <w:rFonts w:ascii="Times New Roman" w:hAnsi="Times New Roman" w:cs="Times New Roman"/>
          <w:iCs/>
          <w:sz w:val="28"/>
          <w:szCs w:val="28"/>
        </w:rPr>
        <w:fldChar w:fldCharType="separate"/>
      </w:r>
      <w:r w:rsidRPr="00E468F9">
        <w:rPr>
          <w:rStyle w:val="Hyperlink"/>
          <w:rFonts w:ascii="Times New Roman" w:hAnsi="Times New Roman" w:cs="Times New Roman"/>
          <w:iCs/>
          <w:color w:val="auto"/>
          <w:sz w:val="28"/>
          <w:szCs w:val="28"/>
          <w:u w:val="none"/>
        </w:rPr>
        <w:t>Luật Ban hành văn bản quy phạm pháp luật năm</w:t>
      </w:r>
      <w:r w:rsidR="00E33E8A">
        <w:rPr>
          <w:rStyle w:val="Hyperlink"/>
          <w:rFonts w:ascii="Times New Roman" w:hAnsi="Times New Roman" w:cs="Times New Roman"/>
          <w:iCs/>
          <w:color w:val="auto"/>
          <w:sz w:val="28"/>
          <w:szCs w:val="28"/>
          <w:u w:val="none"/>
        </w:rPr>
        <w:t xml:space="preserve"> 2025</w:t>
      </w:r>
      <w:r w:rsidR="00CD12A1" w:rsidRPr="00E468F9">
        <w:rPr>
          <w:rFonts w:ascii="Times New Roman" w:hAnsi="Times New Roman" w:cs="Times New Roman"/>
          <w:iCs/>
          <w:sz w:val="28"/>
          <w:szCs w:val="28"/>
        </w:rPr>
        <w:fldChar w:fldCharType="end"/>
      </w:r>
      <w:bookmarkEnd w:id="0"/>
      <w:r w:rsidRPr="00E468F9">
        <w:rPr>
          <w:rFonts w:ascii="Times New Roman" w:hAnsi="Times New Roman" w:cs="Times New Roman"/>
          <w:iCs/>
          <w:sz w:val="28"/>
          <w:szCs w:val="28"/>
        </w:rPr>
        <w:t>,</w:t>
      </w:r>
      <w:r>
        <w:rPr>
          <w:rFonts w:ascii="Times New Roman" w:hAnsi="Times New Roman" w:cs="Times New Roman"/>
          <w:iCs/>
          <w:sz w:val="28"/>
          <w:szCs w:val="28"/>
        </w:rPr>
        <w:t xml:space="preserve"> Bộ Tài chính</w:t>
      </w:r>
      <w:r w:rsidRPr="00E468F9">
        <w:rPr>
          <w:rFonts w:ascii="Times New Roman" w:hAnsi="Times New Roman" w:cs="Times New Roman"/>
          <w:iCs/>
          <w:sz w:val="28"/>
          <w:szCs w:val="28"/>
        </w:rPr>
        <w:t xml:space="preserve"> đã tiến hành</w:t>
      </w:r>
      <w:r w:rsidR="00932837">
        <w:rPr>
          <w:rFonts w:ascii="Times New Roman" w:hAnsi="Times New Roman" w:cs="Times New Roman"/>
          <w:iCs/>
          <w:sz w:val="28"/>
          <w:szCs w:val="28"/>
        </w:rPr>
        <w:t xml:space="preserve"> tổng kết việc thi hành </w:t>
      </w:r>
      <w:r w:rsidR="00F90574">
        <w:rPr>
          <w:rFonts w:ascii="Times New Roman" w:hAnsi="Times New Roman" w:cs="Times New Roman"/>
          <w:iCs/>
          <w:sz w:val="28"/>
          <w:szCs w:val="28"/>
        </w:rPr>
        <w:t xml:space="preserve">Nghị định </w:t>
      </w:r>
      <w:r w:rsidR="006E52E4" w:rsidRPr="006E52E4">
        <w:rPr>
          <w:rFonts w:ascii="Times New Roman" w:hAnsi="Times New Roman" w:cs="Times New Roman"/>
          <w:iCs/>
          <w:sz w:val="28"/>
          <w:szCs w:val="28"/>
        </w:rPr>
        <w:t>số 88/2016/NĐ-CP ngày 01/7/2016 về chương trình hưu trí bổ sung tự nguyện</w:t>
      </w:r>
      <w:r>
        <w:rPr>
          <w:rFonts w:ascii="Times New Roman" w:hAnsi="Times New Roman" w:cs="Times New Roman"/>
          <w:iCs/>
          <w:sz w:val="28"/>
          <w:szCs w:val="28"/>
        </w:rPr>
        <w:t xml:space="preserve">. </w:t>
      </w:r>
      <w:r w:rsidRPr="00E468F9">
        <w:rPr>
          <w:rFonts w:ascii="Times New Roman" w:hAnsi="Times New Roman" w:cs="Times New Roman"/>
          <w:iCs/>
          <w:sz w:val="28"/>
          <w:szCs w:val="28"/>
        </w:rPr>
        <w:t>Kết quả như sau:</w:t>
      </w:r>
    </w:p>
    <w:p w:rsidR="00932837" w:rsidRPr="00932837" w:rsidRDefault="00932837" w:rsidP="00E12BD9">
      <w:pPr>
        <w:widowControl w:val="0"/>
        <w:spacing w:before="100" w:after="100" w:line="340" w:lineRule="exact"/>
        <w:ind w:firstLine="720"/>
        <w:jc w:val="both"/>
        <w:rPr>
          <w:rFonts w:ascii="Times New Roman" w:eastAsia="Calibri" w:hAnsi="Times New Roman" w:cs="Times New Roman"/>
          <w:b/>
          <w:sz w:val="28"/>
          <w:szCs w:val="28"/>
          <w:lang w:val="nl-NL"/>
        </w:rPr>
      </w:pPr>
      <w:r w:rsidRPr="00932837">
        <w:rPr>
          <w:rFonts w:ascii="Times New Roman" w:eastAsia="Calibri" w:hAnsi="Times New Roman" w:cs="Times New Roman"/>
          <w:b/>
          <w:sz w:val="28"/>
          <w:szCs w:val="28"/>
          <w:lang w:val="nl-NL"/>
        </w:rPr>
        <w:t>I. BỐI CẢNH THỰC HIỆN TỔNG KẾT</w:t>
      </w:r>
    </w:p>
    <w:p w:rsidR="00932837" w:rsidRPr="00932837" w:rsidRDefault="00932837" w:rsidP="00E12BD9">
      <w:pPr>
        <w:widowControl w:val="0"/>
        <w:spacing w:before="100" w:after="100" w:line="340" w:lineRule="exact"/>
        <w:ind w:firstLine="720"/>
        <w:jc w:val="both"/>
        <w:rPr>
          <w:rFonts w:ascii="Times New Roman" w:eastAsia="Calibri" w:hAnsi="Times New Roman" w:cs="Times New Roman"/>
          <w:b/>
          <w:bCs/>
          <w:sz w:val="28"/>
          <w:szCs w:val="28"/>
          <w:lang w:val="nl-NL"/>
        </w:rPr>
      </w:pPr>
      <w:r w:rsidRPr="00932837">
        <w:rPr>
          <w:rFonts w:ascii="Times New Roman" w:eastAsia="Calibri" w:hAnsi="Times New Roman" w:cs="Times New Roman"/>
          <w:b/>
          <w:bCs/>
          <w:sz w:val="28"/>
          <w:szCs w:val="28"/>
          <w:lang w:val="nl-NL"/>
        </w:rPr>
        <w:t xml:space="preserve">1. Bối cảnh trong nước và quốc tế </w:t>
      </w:r>
    </w:p>
    <w:p w:rsidR="00932837" w:rsidRPr="000F1493" w:rsidRDefault="00932837" w:rsidP="00E12BD9">
      <w:pPr>
        <w:widowControl w:val="0"/>
        <w:spacing w:before="100" w:after="100" w:line="340" w:lineRule="exact"/>
        <w:ind w:firstLine="720"/>
        <w:jc w:val="both"/>
        <w:rPr>
          <w:rFonts w:ascii="Times New Roman" w:eastAsia="Calibri" w:hAnsi="Times New Roman" w:cs="Times New Roman"/>
          <w:b/>
          <w:bCs/>
          <w:i/>
          <w:iCs/>
          <w:sz w:val="28"/>
          <w:szCs w:val="28"/>
        </w:rPr>
      </w:pPr>
      <w:r w:rsidRPr="000F1493">
        <w:rPr>
          <w:rFonts w:ascii="Times New Roman" w:eastAsia="Calibri" w:hAnsi="Times New Roman" w:cs="Times New Roman"/>
          <w:b/>
          <w:bCs/>
          <w:i/>
          <w:iCs/>
          <w:sz w:val="28"/>
          <w:szCs w:val="28"/>
        </w:rPr>
        <w:t>1.1. Bối cảnh trong nước</w:t>
      </w:r>
    </w:p>
    <w:p w:rsidR="0020750B" w:rsidRPr="0020750B" w:rsidRDefault="00AA6E99" w:rsidP="00E12BD9">
      <w:pPr>
        <w:widowControl w:val="0"/>
        <w:spacing w:before="100" w:after="100" w:line="340" w:lineRule="exact"/>
        <w:ind w:firstLine="720"/>
        <w:jc w:val="both"/>
        <w:rPr>
          <w:rFonts w:ascii="Times New Roman" w:eastAsia="Times New Roman" w:hAnsi="Times New Roman" w:cs="Times New Roman"/>
          <w:bCs/>
          <w:iCs/>
          <w:sz w:val="28"/>
          <w:szCs w:val="28"/>
          <w:lang w:val="nl-NL"/>
        </w:rPr>
      </w:pPr>
      <w:r>
        <w:rPr>
          <w:rFonts w:ascii="Times New Roman" w:eastAsia="Calibri" w:hAnsi="Times New Roman" w:cs="Times New Roman"/>
          <w:sz w:val="28"/>
          <w:szCs w:val="28"/>
        </w:rPr>
        <w:t>a)</w:t>
      </w:r>
      <w:r w:rsidR="0020750B" w:rsidRPr="0020750B">
        <w:rPr>
          <w:rFonts w:ascii="Times New Roman" w:eastAsia="Calibri" w:hAnsi="Times New Roman" w:cs="Times New Roman"/>
          <w:sz w:val="28"/>
          <w:szCs w:val="28"/>
        </w:rPr>
        <w:t xml:space="preserve"> </w:t>
      </w:r>
      <w:r w:rsidR="0020750B" w:rsidRPr="0020750B">
        <w:rPr>
          <w:rFonts w:ascii="Times New Roman" w:eastAsia="Times New Roman" w:hAnsi="Times New Roman" w:cs="Times New Roman"/>
          <w:sz w:val="28"/>
          <w:szCs w:val="28"/>
        </w:rPr>
        <w:t xml:space="preserve">Nghị quyết số 28/NQ-TW </w:t>
      </w:r>
      <w:r w:rsidR="0020750B" w:rsidRPr="0020750B">
        <w:rPr>
          <w:rFonts w:ascii="Times New Roman" w:eastAsia="Times New Roman" w:hAnsi="Times New Roman" w:cs="Times New Roman"/>
          <w:bCs/>
          <w:iCs/>
          <w:sz w:val="28"/>
          <w:szCs w:val="28"/>
        </w:rPr>
        <w:t>ngày 23/5/2018 của Ban Chấp hành Trung ương khóa XII về cải cách chính sách bảo hiểm xã hội (Nghị quyết số 28)</w:t>
      </w:r>
      <w:r w:rsidR="0020750B" w:rsidRPr="0020750B">
        <w:rPr>
          <w:rFonts w:ascii="Times New Roman" w:eastAsia="Times New Roman" w:hAnsi="Times New Roman" w:cs="Times New Roman"/>
          <w:bCs/>
          <w:iCs/>
          <w:sz w:val="28"/>
          <w:szCs w:val="28"/>
          <w:lang w:val="nl-NL"/>
        </w:rPr>
        <w:t xml:space="preserve"> nêu một trong các nội dung cải cách là xây dựng hệ thống bảo hiểm xã hội đa tầng, bao gồm bảo hiểm hưu trí bổ sung để hướng tới mục tiêu “</w:t>
      </w:r>
      <w:r w:rsidR="0020750B" w:rsidRPr="0020750B">
        <w:rPr>
          <w:rFonts w:ascii="Times New Roman" w:eastAsia="Times New Roman" w:hAnsi="Times New Roman" w:cs="Times New Roman"/>
          <w:bCs/>
          <w:i/>
          <w:sz w:val="28"/>
          <w:szCs w:val="28"/>
          <w:lang w:val="nl-NL"/>
        </w:rPr>
        <w:t>từng bước mở rộng vững chắc diện bao phủ bảo hiểm xã hội, hướng tới mục tiêu bảo hiểm xã hội toàn dân</w:t>
      </w:r>
      <w:r w:rsidR="0020750B" w:rsidRPr="0020750B">
        <w:rPr>
          <w:rFonts w:ascii="Times New Roman" w:eastAsia="Times New Roman" w:hAnsi="Times New Roman" w:cs="Times New Roman"/>
          <w:bCs/>
          <w:iCs/>
          <w:sz w:val="28"/>
          <w:szCs w:val="28"/>
          <w:lang w:val="nl-NL"/>
        </w:rPr>
        <w:t>”; “</w:t>
      </w:r>
      <w:r w:rsidR="0020750B" w:rsidRPr="0020750B">
        <w:rPr>
          <w:rFonts w:ascii="Times New Roman" w:eastAsia="Times New Roman" w:hAnsi="Times New Roman" w:cs="Times New Roman"/>
          <w:bCs/>
          <w:i/>
          <w:sz w:val="28"/>
          <w:szCs w:val="28"/>
          <w:lang w:val="nl-NL"/>
        </w:rPr>
        <w:t>phát triển hệ thống bảo hiểm xã hội linh hoạt, đa dạng, đa tầng, hiện đại và hội nhập quốc tế”</w:t>
      </w:r>
      <w:r w:rsidR="0020750B" w:rsidRPr="0020750B">
        <w:rPr>
          <w:rFonts w:ascii="Times New Roman" w:eastAsia="Times New Roman" w:hAnsi="Times New Roman" w:cs="Times New Roman"/>
          <w:bCs/>
          <w:iCs/>
          <w:sz w:val="28"/>
          <w:szCs w:val="28"/>
          <w:lang w:val="nl-NL"/>
        </w:rPr>
        <w:t xml:space="preserve">, đảm bảo tính an toàn, bền vững trong dài hạn của hệ thống bảo hiểm xã hội và các chính sách bảo hiểm xã hội. Trong đó, bảo hiểm hưu trí bổ sung là </w:t>
      </w:r>
      <w:r w:rsidR="0020750B" w:rsidRPr="0020750B">
        <w:rPr>
          <w:rFonts w:ascii="Times New Roman" w:eastAsia="Times New Roman" w:hAnsi="Times New Roman" w:cs="Times New Roman"/>
          <w:bCs/>
          <w:i/>
          <w:sz w:val="28"/>
          <w:szCs w:val="28"/>
          <w:lang w:val="nl-NL"/>
        </w:rPr>
        <w:t>chế độ hưu trí tự nguyện theo nguyên tắc thị trường, tạo điều kiện cho người sử dụng lao động và người lao động có thêm sự lựa chọn tham gia đóng góp để được hưởng mức lương hưu cao hơn</w:t>
      </w:r>
      <w:r w:rsidR="0020750B" w:rsidRPr="0020750B">
        <w:rPr>
          <w:rFonts w:ascii="Times New Roman" w:eastAsia="Times New Roman" w:hAnsi="Times New Roman" w:cs="Times New Roman"/>
          <w:bCs/>
          <w:iCs/>
          <w:sz w:val="28"/>
          <w:szCs w:val="28"/>
          <w:lang w:val="nl-NL"/>
        </w:rPr>
        <w:t>.</w:t>
      </w:r>
    </w:p>
    <w:p w:rsidR="0020750B" w:rsidRPr="0020750B" w:rsidRDefault="0020750B" w:rsidP="00E12BD9">
      <w:pPr>
        <w:widowControl w:val="0"/>
        <w:spacing w:before="100" w:after="100" w:line="340" w:lineRule="exact"/>
        <w:ind w:firstLine="720"/>
        <w:jc w:val="both"/>
        <w:rPr>
          <w:rFonts w:ascii="Times New Roman" w:eastAsia="Times New Roman" w:hAnsi="Times New Roman" w:cs="Times New Roman"/>
          <w:bCs/>
          <w:iCs/>
          <w:spacing w:val="-2"/>
          <w:sz w:val="28"/>
          <w:szCs w:val="28"/>
        </w:rPr>
      </w:pPr>
      <w:r w:rsidRPr="0020750B">
        <w:rPr>
          <w:rFonts w:ascii="Times New Roman" w:eastAsia="Times New Roman" w:hAnsi="Times New Roman" w:cs="Times New Roman"/>
          <w:bCs/>
          <w:iCs/>
          <w:spacing w:val="-2"/>
          <w:sz w:val="28"/>
          <w:szCs w:val="28"/>
        </w:rPr>
        <w:t>- Nghị quyết số 66-NQ/TW ngày 30/4/2025 của Bộ Chính trị về đổi mới công tác xây dựng và thi hành pháp luật đáp ứng yêu cầu phát triển đất nước trong kỷ nguyên mới đã chỉ đạo “</w:t>
      </w:r>
      <w:r w:rsidRPr="0020750B">
        <w:rPr>
          <w:rFonts w:ascii="Times New Roman" w:eastAsia="Times New Roman" w:hAnsi="Times New Roman" w:cs="Times New Roman"/>
          <w:bCs/>
          <w:i/>
          <w:spacing w:val="-2"/>
          <w:sz w:val="28"/>
          <w:szCs w:val="28"/>
        </w:rPr>
        <w:t>triệt để cắt giảm, đơn giản hóa điều kiện đầu tư, kinh doanh, ngành nghề, thủ tục hành chính bất hợp lý</w:t>
      </w:r>
      <w:r w:rsidRPr="0020750B">
        <w:rPr>
          <w:rFonts w:ascii="Times New Roman" w:eastAsia="Times New Roman" w:hAnsi="Times New Roman" w:cs="Times New Roman"/>
          <w:bCs/>
          <w:iCs/>
          <w:spacing w:val="-2"/>
          <w:sz w:val="28"/>
          <w:szCs w:val="28"/>
        </w:rPr>
        <w:t>”.</w:t>
      </w:r>
    </w:p>
    <w:p w:rsidR="0020750B" w:rsidRPr="0020750B" w:rsidRDefault="0020750B" w:rsidP="00E12BD9">
      <w:pPr>
        <w:widowControl w:val="0"/>
        <w:spacing w:before="100" w:after="100" w:line="340" w:lineRule="exact"/>
        <w:ind w:firstLine="720"/>
        <w:jc w:val="both"/>
        <w:rPr>
          <w:rFonts w:ascii="Times New Roman" w:eastAsia="Times New Roman" w:hAnsi="Times New Roman" w:cs="Times New Roman"/>
          <w:bCs/>
          <w:iCs/>
          <w:spacing w:val="-2"/>
          <w:sz w:val="28"/>
          <w:szCs w:val="28"/>
        </w:rPr>
      </w:pPr>
      <w:r w:rsidRPr="0020750B">
        <w:rPr>
          <w:rFonts w:ascii="Times New Roman" w:eastAsia="Times New Roman" w:hAnsi="Times New Roman" w:cs="Times New Roman"/>
          <w:bCs/>
          <w:iCs/>
          <w:spacing w:val="-2"/>
          <w:sz w:val="28"/>
          <w:szCs w:val="28"/>
        </w:rPr>
        <w:t>- Nghị quyết số 68/NQ-TW ngày 4/5/2025 của Bộ Chính trị về phát triển kinh tế tư nhân yêu cầu “</w:t>
      </w:r>
      <w:r w:rsidRPr="0020750B">
        <w:rPr>
          <w:rFonts w:ascii="Times New Roman" w:eastAsia="Times New Roman" w:hAnsi="Times New Roman" w:cs="Times New Roman"/>
          <w:bCs/>
          <w:i/>
          <w:spacing w:val="-2"/>
          <w:sz w:val="28"/>
          <w:szCs w:val="28"/>
        </w:rPr>
        <w:t>nghiên cứu cho phép các định chế đầu tư tài chính mở rộng khả năng huy động vốn từ các nguồn như quỹ bảo hiểm xã hội, quỹ hưu trí tự nguyện để phát triển thị trường vốn, đặc biệt là vốn trung và dài hạn cho doanh nghiệp tư nhân”</w:t>
      </w:r>
      <w:r w:rsidRPr="0020750B">
        <w:rPr>
          <w:rFonts w:ascii="Times New Roman" w:eastAsia="Times New Roman" w:hAnsi="Times New Roman" w:cs="Times New Roman"/>
          <w:bCs/>
          <w:iCs/>
          <w:spacing w:val="-2"/>
          <w:sz w:val="28"/>
          <w:szCs w:val="28"/>
        </w:rPr>
        <w:t>.</w:t>
      </w:r>
    </w:p>
    <w:p w:rsidR="00B42FF4" w:rsidRPr="00B42FF4" w:rsidRDefault="00AA6E99" w:rsidP="00E12BD9">
      <w:pPr>
        <w:widowControl w:val="0"/>
        <w:spacing w:before="100" w:after="100" w:line="340" w:lineRule="exact"/>
        <w:ind w:firstLine="720"/>
        <w:jc w:val="both"/>
        <w:rPr>
          <w:rFonts w:ascii="Times New Roman" w:eastAsia="Calibri" w:hAnsi="Times New Roman" w:cs="Times New Roman"/>
          <w:sz w:val="28"/>
          <w:szCs w:val="28"/>
        </w:rPr>
      </w:pPr>
      <w:r>
        <w:rPr>
          <w:rFonts w:ascii="Times New Roman" w:eastAsia="Times New Roman" w:hAnsi="Times New Roman" w:cs="Times New Roman"/>
          <w:bCs/>
          <w:iCs/>
          <w:spacing w:val="-2"/>
          <w:sz w:val="28"/>
          <w:szCs w:val="28"/>
        </w:rPr>
        <w:t>b)</w:t>
      </w:r>
      <w:r w:rsidR="00B42FF4" w:rsidRPr="00B42FF4">
        <w:rPr>
          <w:rFonts w:ascii="Times New Roman" w:eastAsia="Times New Roman" w:hAnsi="Times New Roman" w:cs="Times New Roman"/>
          <w:bCs/>
          <w:iCs/>
          <w:spacing w:val="-2"/>
          <w:sz w:val="28"/>
          <w:szCs w:val="28"/>
        </w:rPr>
        <w:t xml:space="preserve"> </w:t>
      </w:r>
      <w:r w:rsidR="00B42FF4" w:rsidRPr="00B42FF4">
        <w:rPr>
          <w:rFonts w:ascii="Times New Roman" w:eastAsia="Times New Roman" w:hAnsi="Times New Roman" w:cs="Times New Roman"/>
          <w:sz w:val="28"/>
          <w:szCs w:val="28"/>
          <w:lang w:val="nl-NL"/>
        </w:rPr>
        <w:t xml:space="preserve">Luật BHXH năm 2014 quy định sản phẩm hưu trí bổ sung là </w:t>
      </w:r>
      <w:r w:rsidR="00B42FF4" w:rsidRPr="00B42FF4">
        <w:rPr>
          <w:rFonts w:ascii="Times New Roman" w:eastAsia="Times New Roman" w:hAnsi="Times New Roman" w:cs="Times New Roman"/>
          <w:i/>
          <w:sz w:val="28"/>
          <w:szCs w:val="28"/>
          <w:lang w:val="nl-NL"/>
        </w:rPr>
        <w:t xml:space="preserve">chính </w:t>
      </w:r>
      <w:r w:rsidR="00B42FF4" w:rsidRPr="00B42FF4">
        <w:rPr>
          <w:rFonts w:ascii="Times New Roman" w:eastAsia="Times New Roman" w:hAnsi="Times New Roman" w:cs="Times New Roman"/>
          <w:i/>
          <w:sz w:val="28"/>
          <w:szCs w:val="28"/>
          <w:lang w:val="nl-NL"/>
        </w:rPr>
        <w:lastRenderedPageBreak/>
        <w:t>sách bảo hiểm xã hội mang tính chất tự nguyện nhằm mục tiêu bổ sung cho chế độ hưu trí trong bảo hiểm xã hội bắt buộc, có cơ chế tạo lập quỹ từ sự đóng góp của người lao động và người sử dụng lao động dưới hình thức tài khoản tiết kiệm cá nhân, được bảo toàn và tích lũy thông qua hoạt động đầu tư theo quy định của pháp luật</w:t>
      </w:r>
      <w:r w:rsidR="00B42FF4" w:rsidRPr="00B42FF4">
        <w:rPr>
          <w:rFonts w:ascii="Times New Roman" w:eastAsia="Times New Roman" w:hAnsi="Times New Roman" w:cs="Times New Roman"/>
          <w:sz w:val="28"/>
          <w:szCs w:val="28"/>
          <w:lang w:val="nl-NL"/>
        </w:rPr>
        <w:t xml:space="preserve"> (khoản 7 Điều 3); và giao </w:t>
      </w:r>
      <w:r w:rsidR="00B42FF4" w:rsidRPr="00B42FF4">
        <w:rPr>
          <w:rFonts w:ascii="Times New Roman" w:eastAsia="Times New Roman" w:hAnsi="Times New Roman" w:cs="Times New Roman"/>
          <w:i/>
          <w:sz w:val="28"/>
          <w:szCs w:val="28"/>
          <w:lang w:val="nl-NL"/>
        </w:rPr>
        <w:t xml:space="preserve">Chính phủ quy định về bảo hiểm hưu trí bổ sung </w:t>
      </w:r>
      <w:r w:rsidR="00B42FF4" w:rsidRPr="00B42FF4">
        <w:rPr>
          <w:rFonts w:ascii="Times New Roman" w:eastAsia="Times New Roman" w:hAnsi="Times New Roman" w:cs="Times New Roman"/>
          <w:sz w:val="28"/>
          <w:szCs w:val="28"/>
          <w:lang w:val="nl-NL"/>
        </w:rPr>
        <w:t>(khoản 3 Điều 4). Luật Đầu tư năm 2014 quy định danh mục ngành nghề kinh doanh có điều kiện (phụ lục 4), trong đó bao gồm ngành nghề “</w:t>
      </w:r>
      <w:r w:rsidR="00B42FF4" w:rsidRPr="00B42FF4">
        <w:rPr>
          <w:rFonts w:ascii="Times New Roman" w:eastAsia="Times New Roman" w:hAnsi="Times New Roman" w:cs="Times New Roman"/>
          <w:i/>
          <w:sz w:val="28"/>
          <w:szCs w:val="28"/>
          <w:lang w:val="nl-NL"/>
        </w:rPr>
        <w:t>kinh doanh dịch vụ quản lý quỹ hưu trí tự nguyện</w:t>
      </w:r>
      <w:r w:rsidR="00B42FF4" w:rsidRPr="00B42FF4">
        <w:rPr>
          <w:rFonts w:ascii="Times New Roman" w:eastAsia="Times New Roman" w:hAnsi="Times New Roman" w:cs="Times New Roman"/>
          <w:sz w:val="28"/>
          <w:szCs w:val="28"/>
          <w:lang w:val="nl-NL"/>
        </w:rPr>
        <w:t xml:space="preserve">”. </w:t>
      </w:r>
      <w:r w:rsidR="00B42FF4" w:rsidRPr="00B42FF4">
        <w:rPr>
          <w:rFonts w:ascii="Times New Roman" w:eastAsia="Calibri" w:hAnsi="Times New Roman" w:cs="Times New Roman"/>
          <w:sz w:val="28"/>
          <w:szCs w:val="28"/>
        </w:rPr>
        <w:t xml:space="preserve">Triển khai Luật BHXH năm 2014, Luật Đầu tư năm 2014, Bộ Tài chính đã trình Chính phủ ban hành Nghị định số 88/2016/NĐ-CP ngày 01/7/2016 về chương trình hưu trí bổ sung tự nguyện (Nghị định số 88). </w:t>
      </w:r>
    </w:p>
    <w:p w:rsidR="00932837" w:rsidRDefault="00AA6E99" w:rsidP="00E12BD9">
      <w:pPr>
        <w:widowControl w:val="0"/>
        <w:spacing w:before="100" w:after="100" w:line="340" w:lineRule="exact"/>
        <w:ind w:firstLine="720"/>
        <w:jc w:val="both"/>
        <w:outlineLvl w:val="0"/>
        <w:rPr>
          <w:rFonts w:ascii="Times New Roman" w:hAnsi="Times New Roman" w:cs="Times New Roman"/>
          <w:iCs/>
          <w:sz w:val="28"/>
          <w:szCs w:val="28"/>
        </w:rPr>
      </w:pPr>
      <w:r>
        <w:rPr>
          <w:rFonts w:ascii="Times New Roman" w:hAnsi="Times New Roman" w:cs="Times New Roman"/>
          <w:iCs/>
          <w:sz w:val="28"/>
          <w:szCs w:val="28"/>
        </w:rPr>
        <w:t>c)</w:t>
      </w:r>
      <w:r w:rsidR="00B42FF4" w:rsidRPr="00B42FF4">
        <w:rPr>
          <w:rFonts w:ascii="Times New Roman" w:hAnsi="Times New Roman" w:cs="Times New Roman"/>
          <w:iCs/>
          <w:sz w:val="28"/>
          <w:szCs w:val="28"/>
        </w:rPr>
        <w:t xml:space="preserve"> </w:t>
      </w:r>
      <w:r w:rsidR="00FF70FC" w:rsidRPr="00FF70FC">
        <w:rPr>
          <w:rFonts w:ascii="Times New Roman" w:hAnsi="Times New Roman" w:cs="Times New Roman"/>
          <w:iCs/>
          <w:sz w:val="28"/>
          <w:szCs w:val="28"/>
        </w:rPr>
        <w:t xml:space="preserve">Căn cứ Luật BHXH năm 2014 và Luật Đầu tư năm 2014, Nghị định số 88 và Nghị định số 151/2018/NĐ-CP sửa đổi, bổ sung  đã quy định triển khai “bảo hiểm hưu trí bổ sung” theo cơ chế: (i) hình thành quỹ hưu trí bổ sung tự nguyện từ sự đóng góp tự nguyện của người tham gia quỹ và người sử dụng lao động dưới hình thức tài khoản hưu trí cá nhân; (ii) quỹ hưu trí bổ sung tự nguyện do các doanh nghiệp bảo hiểm, công ty quản lý quỹ đầu tư chứng khoán được cấp phép quản lý. Căn cứ quy định tại Nghị định, Bộ Tài chính đã ban hành Thông tư số 86/2017/TT-BTC ngày 15/8/2017 hướng dẫn một số điều của Nghị định số 88; Bộ Lao động - Thương binh và Xã hội (nay là Bộ Nội vụ) đã ban hành Thông tư số 19/2018/TT-BLĐTBXH ngày 30/10/2018 hướng dẫn xây dựng văn bản thỏa thuận tham gia chương trình hưu trí bổ sung tự nguyện tại doanh nghiệp. </w:t>
      </w:r>
      <w:r w:rsidR="00FF70FC">
        <w:rPr>
          <w:rFonts w:ascii="Times New Roman" w:hAnsi="Times New Roman" w:cs="Times New Roman"/>
          <w:iCs/>
          <w:sz w:val="28"/>
          <w:szCs w:val="28"/>
        </w:rPr>
        <w:t>C</w:t>
      </w:r>
      <w:r w:rsidR="00B42FF4" w:rsidRPr="00B42FF4">
        <w:rPr>
          <w:rFonts w:ascii="Times New Roman" w:hAnsi="Times New Roman" w:cs="Times New Roman"/>
          <w:iCs/>
          <w:sz w:val="28"/>
          <w:szCs w:val="28"/>
        </w:rPr>
        <w:t xml:space="preserve">ăn cứ quy định của pháp luật, </w:t>
      </w:r>
      <w:r w:rsidR="00FF70FC">
        <w:rPr>
          <w:rFonts w:ascii="Times New Roman" w:hAnsi="Times New Roman" w:cs="Times New Roman"/>
          <w:iCs/>
          <w:sz w:val="28"/>
          <w:szCs w:val="28"/>
        </w:rPr>
        <w:t>t</w:t>
      </w:r>
      <w:r w:rsidR="00FF70FC" w:rsidRPr="00B42FF4">
        <w:rPr>
          <w:rFonts w:ascii="Times New Roman" w:hAnsi="Times New Roman" w:cs="Times New Roman"/>
          <w:iCs/>
          <w:sz w:val="28"/>
          <w:szCs w:val="28"/>
        </w:rPr>
        <w:t xml:space="preserve">ừ năm 2016, </w:t>
      </w:r>
      <w:r w:rsidR="00B42FF4" w:rsidRPr="00B42FF4">
        <w:rPr>
          <w:rFonts w:ascii="Times New Roman" w:hAnsi="Times New Roman" w:cs="Times New Roman"/>
          <w:iCs/>
          <w:sz w:val="28"/>
          <w:szCs w:val="28"/>
        </w:rPr>
        <w:t>Bộ Tài chính đã phối hợp với các Bộ: LĐTBXH, KH&amp;ĐT, Tư pháp rà soát hồ sơ và cấp Giấy chứng nhận đủ điều kiện kinh doanh dịch vụ quản lý quỹ hưu trí bổ sung tự nguyện cho 04 doanh nghiệp. Các doanh nghiệp quản lý quỹ hưu trí bắt đầu thành lập quỹ hưu trí từ năm 2021 và đến nay có 07 quỹ được thành lập</w:t>
      </w:r>
      <w:r w:rsidR="00932837">
        <w:rPr>
          <w:rFonts w:ascii="Times New Roman" w:hAnsi="Times New Roman" w:cs="Times New Roman"/>
          <w:iCs/>
          <w:sz w:val="28"/>
          <w:szCs w:val="28"/>
        </w:rPr>
        <w:t>.</w:t>
      </w:r>
    </w:p>
    <w:p w:rsidR="00D11A41" w:rsidRDefault="00D11A41" w:rsidP="00E12BD9">
      <w:pPr>
        <w:spacing w:before="100" w:after="100" w:line="340" w:lineRule="exact"/>
        <w:ind w:firstLine="720"/>
        <w:jc w:val="both"/>
        <w:rPr>
          <w:rFonts w:ascii="Times New Roman" w:eastAsia="Calibri" w:hAnsi="Times New Roman" w:cs="Times New Roman"/>
          <w:sz w:val="28"/>
          <w:szCs w:val="28"/>
          <w:lang w:val="nl-NL"/>
        </w:rPr>
      </w:pPr>
      <w:r w:rsidRPr="00D11A41">
        <w:rPr>
          <w:rFonts w:ascii="Times New Roman" w:eastAsia="Calibri" w:hAnsi="Times New Roman" w:cs="Times New Roman"/>
          <w:sz w:val="28"/>
          <w:szCs w:val="28"/>
          <w:lang w:val="nl-NL"/>
        </w:rPr>
        <w:t xml:space="preserve">Thời gian gần đây, số lượng cá nhân có thu nhập cao của Việt Nam đã có sự gia tăng nhanh chóng. Tuy nhiên, theo quy định hiện hành, mức lương tháng làm căn cứ đóng bảo hiểm xã hội bắt buộc không được vượt quá 20 lần tháng lương cơ sở, tương đương 36 triệu đồng (khoản 3 Điều 89 Luật BHXH năm 2014). Như vậy, đối với các cá nhân đã tham gia BHXH bắt buộc mà vẫn có nhu cầu được hưởng mức lương hưu cao hơn có thể tiếp cận kênh bảo hiểm hưu trí bổ sung. </w:t>
      </w:r>
    </w:p>
    <w:p w:rsidR="00932837" w:rsidRPr="000F1493" w:rsidRDefault="00932837" w:rsidP="00E12BD9">
      <w:pPr>
        <w:widowControl w:val="0"/>
        <w:spacing w:before="100" w:after="100" w:line="340" w:lineRule="exact"/>
        <w:ind w:firstLine="720"/>
        <w:jc w:val="both"/>
        <w:outlineLvl w:val="0"/>
        <w:rPr>
          <w:rFonts w:ascii="Times New Roman" w:hAnsi="Times New Roman" w:cs="Times New Roman"/>
          <w:b/>
          <w:bCs/>
          <w:i/>
          <w:sz w:val="28"/>
          <w:szCs w:val="28"/>
        </w:rPr>
      </w:pPr>
      <w:r w:rsidRPr="000F1493">
        <w:rPr>
          <w:rFonts w:ascii="Times New Roman" w:hAnsi="Times New Roman" w:cs="Times New Roman"/>
          <w:b/>
          <w:bCs/>
          <w:i/>
          <w:sz w:val="28"/>
          <w:szCs w:val="28"/>
        </w:rPr>
        <w:t>1.2. Bối cảnh quốc tế</w:t>
      </w:r>
    </w:p>
    <w:p w:rsidR="00A70CEE" w:rsidRPr="00A70CEE" w:rsidRDefault="001A2CB2" w:rsidP="00E12BD9">
      <w:pPr>
        <w:widowControl w:val="0"/>
        <w:spacing w:before="100" w:after="100" w:line="340" w:lineRule="exact"/>
        <w:ind w:firstLine="720"/>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xml:space="preserve">Trong giai đoạn 2021-2023, </w:t>
      </w:r>
      <w:r w:rsidR="00A70CEE" w:rsidRPr="00A70CEE">
        <w:rPr>
          <w:rFonts w:ascii="Times New Roman" w:eastAsia="Times New Roman" w:hAnsi="Times New Roman" w:cs="Times New Roman"/>
          <w:color w:val="000000"/>
          <w:sz w:val="28"/>
          <w:szCs w:val="28"/>
          <w:lang w:val="nl-NL"/>
        </w:rPr>
        <w:t>khi thị trường tài chính có nhiều biến động</w:t>
      </w:r>
      <w:r w:rsidR="00A70CEE" w:rsidRPr="00A70CEE">
        <w:rPr>
          <w:rFonts w:ascii="Times New Roman" w:eastAsia="Aptos" w:hAnsi="Times New Roman" w:cs="Times New Roman"/>
          <w:kern w:val="2"/>
          <w:sz w:val="28"/>
          <w:szCs w:val="28"/>
          <w:lang w:val="nl-NL"/>
        </w:rPr>
        <w:t xml:space="preserve"> phức tạp khiến hệ thống quỹ hưu trí tự nguyện gặp nhiều khó khăn, giá trị tổng tài sản của các quỹ hưu trí </w:t>
      </w:r>
      <w:r w:rsidR="00A70CEE" w:rsidRPr="00A70CEE">
        <w:rPr>
          <w:rFonts w:ascii="Times New Roman" w:eastAsia="Calibri" w:hAnsi="Times New Roman" w:cs="Times New Roman"/>
          <w:sz w:val="28"/>
          <w:szCs w:val="28"/>
          <w:lang w:val="nl-NL"/>
        </w:rPr>
        <w:t>giảm mạnh</w:t>
      </w:r>
      <w:r w:rsidR="00A70CEE" w:rsidRPr="00A70CEE">
        <w:rPr>
          <w:rFonts w:ascii="Times New Roman" w:eastAsia="Calibri" w:hAnsi="Times New Roman" w:cs="Times New Roman"/>
          <w:sz w:val="28"/>
          <w:szCs w:val="28"/>
          <w:vertAlign w:val="superscript"/>
        </w:rPr>
        <w:footnoteReference w:id="1"/>
      </w:r>
      <w:r w:rsidR="00A70CEE" w:rsidRPr="00A70CEE">
        <w:rPr>
          <w:rFonts w:ascii="Times New Roman" w:eastAsia="Times New Roman" w:hAnsi="Times New Roman" w:cs="Times New Roman"/>
          <w:color w:val="000000"/>
          <w:sz w:val="28"/>
          <w:szCs w:val="28"/>
          <w:lang w:val="nl-NL"/>
        </w:rPr>
        <w:t xml:space="preserve">, Chính phủ các nước </w:t>
      </w:r>
      <w:r w:rsidR="00A70CEE" w:rsidRPr="00A70CEE">
        <w:rPr>
          <w:rFonts w:ascii="Times New Roman" w:eastAsia="Aptos" w:hAnsi="Times New Roman" w:cs="Times New Roman"/>
          <w:color w:val="000000"/>
          <w:kern w:val="2"/>
          <w:sz w:val="28"/>
          <w:szCs w:val="28"/>
          <w:lang w:val="nl-NL"/>
        </w:rPr>
        <w:t xml:space="preserve">đã phải can thiệp </w:t>
      </w:r>
      <w:r w:rsidR="00A70CEE" w:rsidRPr="00A70CEE">
        <w:rPr>
          <w:rFonts w:ascii="Times New Roman" w:eastAsia="Aptos" w:hAnsi="Times New Roman" w:cs="Times New Roman"/>
          <w:color w:val="000000"/>
          <w:kern w:val="2"/>
          <w:sz w:val="28"/>
          <w:szCs w:val="28"/>
          <w:lang w:val="nl-NL"/>
        </w:rPr>
        <w:lastRenderedPageBreak/>
        <w:t xml:space="preserve">khẩn cấp, dù đây là các quỹ hưu trí tư nhân, để ngăn chặn nguy cơ căng thẳng tài chính lan rộng, ổn định tâm lý của </w:t>
      </w:r>
      <w:r w:rsidR="00A70CEE" w:rsidRPr="00A70CEE">
        <w:rPr>
          <w:rFonts w:ascii="Times New Roman" w:eastAsia="Calibri" w:hAnsi="Times New Roman" w:cs="Times New Roman"/>
          <w:color w:val="000000"/>
          <w:sz w:val="28"/>
          <w:szCs w:val="28"/>
          <w:lang w:val="nl-NL"/>
        </w:rPr>
        <w:t>người dân</w:t>
      </w:r>
      <w:r w:rsidR="00A70CEE" w:rsidRPr="00A70CEE">
        <w:rPr>
          <w:rFonts w:ascii="Times New Roman" w:eastAsia="Calibri" w:hAnsi="Times New Roman" w:cs="Times New Roman"/>
          <w:color w:val="000000"/>
          <w:sz w:val="28"/>
          <w:vertAlign w:val="superscript"/>
        </w:rPr>
        <w:footnoteReference w:id="2"/>
      </w:r>
      <w:r w:rsidR="00A70CEE" w:rsidRPr="00A70CEE">
        <w:rPr>
          <w:rFonts w:ascii="Times New Roman" w:eastAsia="Aptos" w:hAnsi="Times New Roman" w:cs="Times New Roman"/>
          <w:color w:val="000000"/>
          <w:kern w:val="2"/>
          <w:sz w:val="28"/>
          <w:szCs w:val="28"/>
          <w:lang w:val="nl-NL"/>
        </w:rPr>
        <w:t>. Trước những diễn biến trên, c</w:t>
      </w:r>
      <w:r w:rsidR="00A70CEE" w:rsidRPr="00A70CEE">
        <w:rPr>
          <w:rFonts w:ascii="Times New Roman" w:eastAsia="Calibri" w:hAnsi="Times New Roman" w:cs="Times New Roman"/>
          <w:sz w:val="28"/>
          <w:szCs w:val="28"/>
          <w:lang w:val="nl-NL"/>
        </w:rPr>
        <w:t>ác nước hiện nay đang đánh giá lại mô hình hệ thống hưu trí đa trụ cột với sự tham gia của khu vực công và khu vực tư để phù hợp với thể chế chính trị và tiềm lực ngân sách quốc gia.</w:t>
      </w:r>
    </w:p>
    <w:p w:rsidR="00997A36" w:rsidRPr="00997A36" w:rsidRDefault="00997A36" w:rsidP="00E12BD9">
      <w:pPr>
        <w:widowControl w:val="0"/>
        <w:spacing w:before="100" w:after="100" w:line="340" w:lineRule="exact"/>
        <w:ind w:firstLine="720"/>
        <w:jc w:val="both"/>
        <w:rPr>
          <w:rFonts w:ascii="Times New Roman" w:eastAsia="Times New Roman" w:hAnsi="Times New Roman" w:cs="Times New Roman"/>
          <w:sz w:val="28"/>
          <w:szCs w:val="28"/>
          <w:lang w:val="nl-NL"/>
        </w:rPr>
      </w:pPr>
      <w:r>
        <w:rPr>
          <w:rFonts w:ascii="Times New Roman" w:eastAsia="Times New Roman" w:hAnsi="Times New Roman" w:cs="Times New Roman"/>
          <w:bCs/>
          <w:iCs/>
          <w:sz w:val="28"/>
          <w:szCs w:val="28"/>
          <w:lang w:val="nl-NL"/>
        </w:rPr>
        <w:t>T</w:t>
      </w:r>
      <w:r w:rsidRPr="00997A36">
        <w:rPr>
          <w:rFonts w:ascii="Times New Roman" w:eastAsia="Times New Roman" w:hAnsi="Times New Roman" w:cs="Times New Roman"/>
          <w:bCs/>
          <w:iCs/>
          <w:sz w:val="28"/>
          <w:szCs w:val="28"/>
          <w:lang w:val="nl-NL"/>
        </w:rPr>
        <w:t>ừ cuối năm 2024</w:t>
      </w:r>
      <w:r w:rsidRPr="00997A36">
        <w:rPr>
          <w:rFonts w:ascii="Times New Roman" w:eastAsia="Times New Roman" w:hAnsi="Times New Roman" w:cs="Times New Roman"/>
          <w:sz w:val="28"/>
          <w:szCs w:val="28"/>
          <w:lang w:val="nl-NL"/>
        </w:rPr>
        <w:t xml:space="preserve"> đến nay, thị trường tài chính nói chung và thị trường vốn (chứng khoán, trái phiếu) nói riêng đã có nhiều diễn biến tích cực, hoạt động của hệ thống quỹ hưu trí tại một số khu vực trên thế giới đã vượt qua giai đoạn khó khăn và hoạt động ổn định. </w:t>
      </w:r>
    </w:p>
    <w:p w:rsidR="00DF2AA3" w:rsidRPr="00E468F9" w:rsidRDefault="00D92A00" w:rsidP="00E12BD9">
      <w:pPr>
        <w:widowControl w:val="0"/>
        <w:spacing w:before="100" w:after="100" w:line="340" w:lineRule="exact"/>
        <w:ind w:firstLine="720"/>
        <w:jc w:val="both"/>
        <w:outlineLvl w:val="0"/>
        <w:rPr>
          <w:rFonts w:ascii="Times New Roman" w:hAnsi="Times New Roman" w:cs="Times New Roman"/>
          <w:iCs/>
          <w:sz w:val="28"/>
          <w:szCs w:val="28"/>
        </w:rPr>
      </w:pPr>
      <w:r>
        <w:rPr>
          <w:rFonts w:ascii="Times New Roman" w:hAnsi="Times New Roman" w:cs="Times New Roman"/>
          <w:b/>
          <w:iCs/>
          <w:sz w:val="28"/>
          <w:szCs w:val="28"/>
        </w:rPr>
        <w:t xml:space="preserve">2. </w:t>
      </w:r>
      <w:r w:rsidR="00932837" w:rsidRPr="00932837">
        <w:rPr>
          <w:rFonts w:ascii="Times New Roman" w:hAnsi="Times New Roman" w:cs="Times New Roman"/>
          <w:b/>
          <w:iCs/>
          <w:sz w:val="28"/>
          <w:szCs w:val="28"/>
        </w:rPr>
        <w:t>Quá trình thực hiện tổng kết</w:t>
      </w:r>
    </w:p>
    <w:p w:rsidR="00FC6D14" w:rsidRDefault="00AA1F46" w:rsidP="00E12BD9">
      <w:pPr>
        <w:widowControl w:val="0"/>
        <w:spacing w:before="100" w:after="100" w:line="340" w:lineRule="exact"/>
        <w:ind w:firstLine="720"/>
        <w:jc w:val="both"/>
        <w:rPr>
          <w:rFonts w:ascii="Times New Roman" w:eastAsia="Times New Roman" w:hAnsi="Times New Roman" w:cs="Times New Roman"/>
          <w:bCs/>
          <w:iCs/>
          <w:sz w:val="28"/>
          <w:szCs w:val="28"/>
          <w:lang w:val="nl-NL"/>
        </w:rPr>
      </w:pPr>
      <w:r>
        <w:rPr>
          <w:rFonts w:ascii="Times New Roman" w:eastAsia="Calibri" w:hAnsi="Times New Roman" w:cs="Times New Roman"/>
          <w:sz w:val="28"/>
          <w:szCs w:val="28"/>
          <w:lang w:val="pl-PL"/>
        </w:rPr>
        <w:t>-</w:t>
      </w:r>
      <w:r w:rsidR="000C66C1">
        <w:rPr>
          <w:rFonts w:ascii="Times New Roman" w:eastAsia="Calibri" w:hAnsi="Times New Roman" w:cs="Times New Roman"/>
          <w:sz w:val="28"/>
          <w:szCs w:val="28"/>
          <w:lang w:val="pl-PL"/>
        </w:rPr>
        <w:t xml:space="preserve"> Để đánh giá tổng thể chính sách hưu trí bổ sung tự nguyện đang triển khai để đưa vào Luật BHXH năm 2024, </w:t>
      </w:r>
      <w:r w:rsidR="00E936F0" w:rsidRPr="00E936F0">
        <w:rPr>
          <w:rFonts w:ascii="Times New Roman" w:eastAsia="Times New Roman" w:hAnsi="Times New Roman" w:cs="Times New Roman"/>
          <w:bCs/>
          <w:iCs/>
          <w:sz w:val="28"/>
          <w:szCs w:val="28"/>
          <w:lang w:val="nl-NL"/>
        </w:rPr>
        <w:t>Bộ Tài chính đã báo cáo Lãnh đạo Chính phủ về hoạt động của hệ thống các quỹ hưu trí bổ sung tự nguyện</w:t>
      </w:r>
      <w:r w:rsidR="00E936F0">
        <w:rPr>
          <w:rFonts w:ascii="Times New Roman" w:eastAsia="Times New Roman" w:hAnsi="Times New Roman" w:cs="Times New Roman"/>
          <w:bCs/>
          <w:iCs/>
          <w:sz w:val="28"/>
          <w:szCs w:val="28"/>
          <w:lang w:val="nl-NL"/>
        </w:rPr>
        <w:t xml:space="preserve"> tại </w:t>
      </w:r>
      <w:r w:rsidR="000C66C1" w:rsidRPr="000C66C1">
        <w:rPr>
          <w:rFonts w:ascii="Times New Roman" w:eastAsia="Times New Roman" w:hAnsi="Times New Roman" w:cs="Times New Roman"/>
          <w:bCs/>
          <w:iCs/>
          <w:sz w:val="28"/>
          <w:szCs w:val="28"/>
          <w:lang w:val="nl-NL"/>
        </w:rPr>
        <w:t>Công văn số 4541/BTC-TCNH ngày 3/5/2024 báo cáo Lãnh đạo Chính phủ về chính sách bảo hiểm hưu trí bổ sung tại dự thảo Luật BHXH (sửa đổi)</w:t>
      </w:r>
      <w:r w:rsidR="00E936F0" w:rsidRPr="00E936F0">
        <w:rPr>
          <w:rFonts w:ascii="Times New Roman" w:eastAsia="Times New Roman" w:hAnsi="Times New Roman" w:cs="Times New Roman"/>
          <w:bCs/>
          <w:iCs/>
          <w:sz w:val="28"/>
          <w:szCs w:val="28"/>
          <w:lang w:val="nl-NL"/>
        </w:rPr>
        <w:t>.</w:t>
      </w:r>
      <w:r w:rsidR="000C66C1">
        <w:rPr>
          <w:rFonts w:ascii="Times New Roman" w:eastAsia="Times New Roman" w:hAnsi="Times New Roman" w:cs="Times New Roman"/>
          <w:bCs/>
          <w:iCs/>
          <w:sz w:val="28"/>
          <w:szCs w:val="28"/>
          <w:lang w:val="nl-NL"/>
        </w:rPr>
        <w:t xml:space="preserve"> </w:t>
      </w:r>
    </w:p>
    <w:p w:rsidR="00261E95" w:rsidRDefault="00261E95" w:rsidP="00E12BD9">
      <w:pPr>
        <w:widowControl w:val="0"/>
        <w:spacing w:before="100" w:after="100" w:line="340" w:lineRule="exact"/>
        <w:ind w:firstLine="720"/>
        <w:jc w:val="both"/>
        <w:rPr>
          <w:rFonts w:ascii="Times New Roman" w:eastAsia="Calibri" w:hAnsi="Times New Roman" w:cs="Times New Roman"/>
          <w:sz w:val="28"/>
          <w:szCs w:val="28"/>
          <w:lang w:val="pl-PL"/>
        </w:rPr>
      </w:pPr>
      <w:r>
        <w:rPr>
          <w:rFonts w:ascii="Times New Roman" w:eastAsia="Times New Roman" w:hAnsi="Times New Roman" w:cs="Times New Roman"/>
          <w:bCs/>
          <w:iCs/>
          <w:sz w:val="28"/>
          <w:szCs w:val="28"/>
          <w:lang w:val="nl-NL"/>
        </w:rPr>
        <w:t>- Triển khai Luật BHXH năm 2024, t</w:t>
      </w:r>
      <w:r w:rsidRPr="00261E95">
        <w:rPr>
          <w:rFonts w:ascii="Times New Roman" w:eastAsia="Times New Roman" w:hAnsi="Times New Roman" w:cs="Times New Roman"/>
          <w:bCs/>
          <w:iCs/>
          <w:sz w:val="28"/>
          <w:szCs w:val="28"/>
          <w:lang w:val="nl-NL"/>
        </w:rPr>
        <w:t>rên cơ sở đánh giá kết quả triển khai hệ thống quỹ hưu trí bổ sung tự nguyện, tình hình hoạt động các quỹ hưu trí trên thế giới và diễn biến thị trường tài chính trong nước, Bộ Tài chính đã báo cáo Lãnh đạo Chính phủ về việc triển khai xây dựng Nghị định về bảo hiểm hưu trí bổ sung tại các Công văn số 6668/BTC-ĐCTC ngày 16/5/2025 và số 10388/BTC-ĐCTC ngày 10/7/2025.</w:t>
      </w:r>
    </w:p>
    <w:p w:rsidR="00932837" w:rsidRDefault="00344F5F" w:rsidP="00E12BD9">
      <w:pPr>
        <w:widowControl w:val="0"/>
        <w:spacing w:before="100" w:after="100" w:line="340" w:lineRule="exact"/>
        <w:ind w:firstLine="720"/>
        <w:jc w:val="both"/>
        <w:outlineLvl w:val="0"/>
        <w:rPr>
          <w:rFonts w:ascii="Times New Roman" w:hAnsi="Times New Roman" w:cs="Times New Roman"/>
          <w:b/>
          <w:bCs/>
          <w:sz w:val="28"/>
          <w:szCs w:val="28"/>
          <w:lang w:val="en-SG"/>
        </w:rPr>
      </w:pPr>
      <w:r>
        <w:rPr>
          <w:rFonts w:ascii="Times New Roman" w:hAnsi="Times New Roman" w:cs="Times New Roman"/>
          <w:b/>
          <w:bCs/>
          <w:sz w:val="28"/>
          <w:szCs w:val="28"/>
          <w:lang w:val="en-SG"/>
        </w:rPr>
        <w:t xml:space="preserve">II. </w:t>
      </w:r>
      <w:r w:rsidR="00932837" w:rsidRPr="00932837">
        <w:rPr>
          <w:rFonts w:ascii="Times New Roman" w:hAnsi="Times New Roman" w:cs="Times New Roman"/>
          <w:b/>
          <w:bCs/>
          <w:sz w:val="28"/>
          <w:szCs w:val="28"/>
          <w:lang w:val="en-SG"/>
        </w:rPr>
        <w:t>KẾT QUẢ THỰC HIỆN</w:t>
      </w:r>
    </w:p>
    <w:p w:rsidR="00E468F9" w:rsidRDefault="00344F5F" w:rsidP="00E12BD9">
      <w:pPr>
        <w:widowControl w:val="0"/>
        <w:spacing w:before="100" w:after="100" w:line="340" w:lineRule="exact"/>
        <w:ind w:firstLine="720"/>
        <w:jc w:val="both"/>
        <w:outlineLvl w:val="0"/>
        <w:rPr>
          <w:rFonts w:ascii="Times New Roman" w:hAnsi="Times New Roman" w:cs="Times New Roman"/>
          <w:b/>
          <w:bCs/>
          <w:sz w:val="28"/>
          <w:szCs w:val="28"/>
        </w:rPr>
      </w:pPr>
      <w:r>
        <w:rPr>
          <w:rFonts w:ascii="Times New Roman" w:hAnsi="Times New Roman" w:cs="Times New Roman"/>
          <w:b/>
          <w:bCs/>
          <w:sz w:val="28"/>
          <w:szCs w:val="28"/>
        </w:rPr>
        <w:t>1</w:t>
      </w:r>
      <w:r w:rsidR="00E468F9" w:rsidRPr="00E468F9">
        <w:rPr>
          <w:rFonts w:ascii="Times New Roman" w:hAnsi="Times New Roman" w:cs="Times New Roman"/>
          <w:b/>
          <w:bCs/>
          <w:sz w:val="28"/>
          <w:szCs w:val="28"/>
        </w:rPr>
        <w:t xml:space="preserve">. </w:t>
      </w:r>
      <w:r w:rsidR="00932837" w:rsidRPr="00932837">
        <w:rPr>
          <w:rFonts w:ascii="Times New Roman" w:hAnsi="Times New Roman" w:cs="Times New Roman"/>
          <w:b/>
          <w:bCs/>
          <w:sz w:val="28"/>
          <w:szCs w:val="28"/>
        </w:rPr>
        <w:t>Công tác chỉ đạo, triển khai và tổ chức thi hành văn bản quy phạm pháp luật</w:t>
      </w:r>
    </w:p>
    <w:p w:rsidR="00817117" w:rsidRDefault="00AB6156" w:rsidP="00E12BD9">
      <w:pPr>
        <w:widowControl w:val="0"/>
        <w:spacing w:before="100" w:after="100" w:line="340" w:lineRule="exact"/>
        <w:ind w:firstLine="720"/>
        <w:jc w:val="both"/>
        <w:rPr>
          <w:rFonts w:ascii="Times New Roman" w:eastAsia="Calibri" w:hAnsi="Times New Roman" w:cs="Times New Roman"/>
          <w:sz w:val="28"/>
          <w:szCs w:val="28"/>
          <w:lang w:val="pl-PL"/>
        </w:rPr>
      </w:pPr>
      <w:r>
        <w:rPr>
          <w:rFonts w:ascii="Times New Roman" w:hAnsi="Times New Roman" w:cs="Times New Roman"/>
          <w:bCs/>
          <w:sz w:val="28"/>
          <w:szCs w:val="28"/>
        </w:rPr>
        <w:t xml:space="preserve">- </w:t>
      </w:r>
      <w:r w:rsidR="00817117" w:rsidRPr="00932837">
        <w:rPr>
          <w:rFonts w:ascii="Times New Roman" w:eastAsia="Calibri" w:hAnsi="Times New Roman" w:cs="Times New Roman"/>
          <w:sz w:val="28"/>
          <w:szCs w:val="28"/>
          <w:lang w:val="pl-PL"/>
        </w:rPr>
        <w:t>T</w:t>
      </w:r>
      <w:r w:rsidR="00817117">
        <w:rPr>
          <w:rFonts w:ascii="Times New Roman" w:eastAsia="Calibri" w:hAnsi="Times New Roman" w:cs="Times New Roman"/>
          <w:sz w:val="28"/>
          <w:szCs w:val="28"/>
          <w:lang w:val="pl-PL"/>
        </w:rPr>
        <w:t xml:space="preserve">heo quy định tại Luật BHXH năm 2014 (khoản 11 Điều 10), định kỳ hàng năm, Bộ LĐTBXH có trách nhiệm báo cáo Chính phủ báo cáo tình hình thực hiện chính sách BHXH. Thực hiện nhiệm vụ trên, Bộ Tài chính đã có văn bản gửi Bộ LĐTBXH báo cáo về tình hình thực hiện chính sách hưu trí bổ sung tự nguyện từ khi hệ thống quỹ chính sách triển khai (từ năm 2021). </w:t>
      </w:r>
    </w:p>
    <w:p w:rsidR="00817117" w:rsidRDefault="00817117" w:rsidP="00E12BD9">
      <w:pPr>
        <w:widowControl w:val="0"/>
        <w:spacing w:before="100" w:after="100" w:line="340" w:lineRule="exact"/>
        <w:ind w:firstLine="720"/>
        <w:jc w:val="both"/>
        <w:rPr>
          <w:rFonts w:ascii="Times New Roman" w:eastAsia="Calibri" w:hAnsi="Times New Roman" w:cs="Times New Roman"/>
          <w:sz w:val="28"/>
          <w:szCs w:val="28"/>
          <w:lang w:val="pl-PL"/>
        </w:rPr>
      </w:pPr>
      <w:r>
        <w:rPr>
          <w:rFonts w:ascii="Times New Roman" w:eastAsia="Calibri" w:hAnsi="Times New Roman" w:cs="Times New Roman"/>
          <w:sz w:val="28"/>
          <w:szCs w:val="28"/>
          <w:lang w:val="pl-PL"/>
        </w:rPr>
        <w:t xml:space="preserve">- Trong quá trình tổng kết triển khai Luật BHXH năm 2014, theo đề nghị </w:t>
      </w:r>
      <w:r>
        <w:rPr>
          <w:rFonts w:ascii="Times New Roman" w:eastAsia="Calibri" w:hAnsi="Times New Roman" w:cs="Times New Roman"/>
          <w:sz w:val="28"/>
          <w:szCs w:val="28"/>
          <w:lang w:val="pl-PL"/>
        </w:rPr>
        <w:lastRenderedPageBreak/>
        <w:t>của Bộ LĐTBXH, Bộ Tài chính đã có ý kiến đánh giá về việc triển khai chính sách hưu trí bổ sung tự nguyện</w:t>
      </w:r>
      <w:r>
        <w:rPr>
          <w:rStyle w:val="FootnoteReference"/>
          <w:rFonts w:ascii="Times New Roman" w:eastAsia="Calibri" w:hAnsi="Times New Roman" w:cs="Times New Roman"/>
          <w:sz w:val="28"/>
          <w:szCs w:val="28"/>
          <w:lang w:val="pl-PL"/>
        </w:rPr>
        <w:footnoteReference w:id="3"/>
      </w:r>
      <w:r>
        <w:rPr>
          <w:rFonts w:ascii="Times New Roman" w:eastAsia="Calibri" w:hAnsi="Times New Roman" w:cs="Times New Roman"/>
          <w:sz w:val="28"/>
          <w:szCs w:val="28"/>
          <w:lang w:val="pl-PL"/>
        </w:rPr>
        <w:t xml:space="preserve">. </w:t>
      </w:r>
      <w:r w:rsidRPr="00AA1F46">
        <w:rPr>
          <w:rFonts w:ascii="Times New Roman" w:eastAsia="Calibri" w:hAnsi="Times New Roman" w:cs="Times New Roman"/>
          <w:sz w:val="28"/>
          <w:szCs w:val="28"/>
        </w:rPr>
        <w:t xml:space="preserve">Trong quá trình thảo luận tại kỳ họp thứ 6 Quốc hội khóa XV, các đại biểu Quốc hội đề nghị bổ sung một số quy định mang tính nguyên tắc về bảo hiểm hưu trí bổ sung tại dự thảo Luật </w:t>
      </w:r>
      <w:r>
        <w:rPr>
          <w:rFonts w:ascii="Times New Roman" w:eastAsia="Calibri" w:hAnsi="Times New Roman" w:cs="Times New Roman"/>
          <w:sz w:val="28"/>
          <w:szCs w:val="28"/>
        </w:rPr>
        <w:t xml:space="preserve">BHXH </w:t>
      </w:r>
      <w:r w:rsidRPr="00AA1F46">
        <w:rPr>
          <w:rFonts w:ascii="Times New Roman" w:eastAsia="Calibri" w:hAnsi="Times New Roman" w:cs="Times New Roman"/>
          <w:sz w:val="28"/>
          <w:szCs w:val="28"/>
        </w:rPr>
        <w:t>để giao Chính phủ hướng dẫn. Do đó, khi thẩm tra, chỉnh lý dự thảo Luật, Ủy ban Xã hội (UBXH) của Quốc hội đã có công văn đề nghị Bộ Tài chính có ý kiến về một số nội dung chỉnh lý, trong đó đề nghị đề xuất một số quy định mang tính nguyên tắc về bảo hiểm hưu trí bổ sung để bổ sung tại dự thảo Luật BHXH. Theo đề nghị của UBXH, Bộ Tài chính đã có 02 văn bản báo cáo UBXH</w:t>
      </w:r>
      <w:r w:rsidRPr="00AA1F46">
        <w:rPr>
          <w:rFonts w:ascii="Times New Roman" w:eastAsia="Calibri" w:hAnsi="Times New Roman" w:cs="Times New Roman"/>
          <w:sz w:val="28"/>
          <w:vertAlign w:val="superscript"/>
        </w:rPr>
        <w:footnoteReference w:id="4"/>
      </w:r>
      <w:r w:rsidRPr="00AA1F46">
        <w:rPr>
          <w:rFonts w:ascii="Times New Roman" w:eastAsia="Calibri" w:hAnsi="Times New Roman" w:cs="Times New Roman"/>
          <w:sz w:val="28"/>
          <w:szCs w:val="28"/>
        </w:rPr>
        <w:t>; đồng thời có 01 công văn gửi Bộ LĐTBXH và 01 công văn gửi Bảo hiểm Xã hội Việt Nam để phối hợp tham gia</w:t>
      </w:r>
      <w:r w:rsidRPr="00AA1F46">
        <w:rPr>
          <w:rFonts w:ascii="Times New Roman" w:eastAsia="Calibri" w:hAnsi="Times New Roman" w:cs="Times New Roman"/>
          <w:sz w:val="28"/>
          <w:vertAlign w:val="superscript"/>
        </w:rPr>
        <w:footnoteReference w:id="5"/>
      </w:r>
      <w:r w:rsidRPr="00AA1F46">
        <w:rPr>
          <w:rFonts w:ascii="Times New Roman" w:eastAsia="Calibri" w:hAnsi="Times New Roman" w:cs="Times New Roman"/>
          <w:sz w:val="28"/>
          <w:szCs w:val="28"/>
        </w:rPr>
        <w:t>.</w:t>
      </w:r>
    </w:p>
    <w:p w:rsidR="00932837" w:rsidRPr="00997A36" w:rsidRDefault="00817117" w:rsidP="00E12BD9">
      <w:pPr>
        <w:widowControl w:val="0"/>
        <w:spacing w:before="100" w:after="100" w:line="340" w:lineRule="exact"/>
        <w:ind w:firstLine="720"/>
        <w:jc w:val="both"/>
        <w:outlineLvl w:val="0"/>
        <w:rPr>
          <w:rFonts w:ascii="Times New Roman" w:hAnsi="Times New Roman" w:cs="Times New Roman"/>
          <w:sz w:val="28"/>
          <w:szCs w:val="28"/>
          <w:lang w:val="nl-NL"/>
        </w:rPr>
      </w:pPr>
      <w:r>
        <w:rPr>
          <w:rFonts w:ascii="Times New Roman" w:hAnsi="Times New Roman" w:cs="Times New Roman"/>
          <w:bCs/>
          <w:sz w:val="28"/>
          <w:szCs w:val="28"/>
        </w:rPr>
        <w:t>- Ngoài ra, thực hiện trách nhiệm theo quy định tại Nghị định số 88, trong năm 2024, Bộ Tài chính đã phối hợp với Bộ LĐTBXH tổ chức đoàn kiểm tra tình hình thực hiện các quy định về cung cấp dịch vụ quản lý quỹ hưu trí bổ sung</w:t>
      </w:r>
      <w:r w:rsidR="006B2F0A">
        <w:rPr>
          <w:rFonts w:ascii="Times New Roman" w:hAnsi="Times New Roman" w:cs="Times New Roman"/>
          <w:bCs/>
          <w:sz w:val="28"/>
          <w:szCs w:val="28"/>
        </w:rPr>
        <w:t xml:space="preserve"> tự nguyện tại 01 doanh nghiệp quản lý quỹ hưu trí, là doanh nghiệp đầu tiên được cấp Giấy chứng nhận đủ điều kiện kinh doanh dịch vụ quản lý quỹ hưu trí bổ sung tự nguyện. Căn cứ kết quả kiểm tra, Đoàn đã có biên bản kiểm tra và 02 công văn gửi doanh nghiệp quản lý quỹ và ngân hàng giám sát về việc chấn chỉnh trong cung cấp dịch vụ theo quy định. Trên cơ sở kết quả kiểm tra trực tiếp, kết quả thực hiện giám sát qua chế độ báo cáo định kỳ và các nội dung kiến nghị của doanh nghiệp, Bộ Tài chính đã tổng hợp, phục vụ công tác rà soát, sửa đổi, hoàn thiện chính sách.</w:t>
      </w:r>
    </w:p>
    <w:p w:rsidR="00DD191B" w:rsidRDefault="00DD191B" w:rsidP="00E12BD9">
      <w:pPr>
        <w:widowControl w:val="0"/>
        <w:spacing w:before="100" w:after="100" w:line="340" w:lineRule="exact"/>
        <w:ind w:firstLine="720"/>
        <w:jc w:val="both"/>
        <w:rPr>
          <w:rFonts w:ascii="Times New Roman" w:hAnsi="Times New Roman" w:cs="Times New Roman"/>
          <w:b/>
          <w:sz w:val="28"/>
          <w:szCs w:val="28"/>
        </w:rPr>
      </w:pPr>
      <w:r>
        <w:rPr>
          <w:rFonts w:ascii="Times New Roman" w:hAnsi="Times New Roman" w:cs="Times New Roman"/>
          <w:b/>
          <w:sz w:val="28"/>
          <w:szCs w:val="28"/>
        </w:rPr>
        <w:t xml:space="preserve">2. </w:t>
      </w:r>
      <w:r w:rsidR="00932837" w:rsidRPr="00932837">
        <w:rPr>
          <w:rFonts w:ascii="Times New Roman" w:hAnsi="Times New Roman" w:cs="Times New Roman"/>
          <w:b/>
          <w:sz w:val="28"/>
          <w:szCs w:val="28"/>
        </w:rPr>
        <w:t>Kết quả thi hành văn bản quy phạm pháp luật, đánh giá ưu điểm, bất cập, hạn chế của văn bản quy phạm pháp luật</w:t>
      </w:r>
    </w:p>
    <w:p w:rsidR="000F1493" w:rsidRDefault="00AB6156" w:rsidP="00E12BD9">
      <w:pPr>
        <w:widowControl w:val="0"/>
        <w:spacing w:before="100" w:after="100" w:line="340" w:lineRule="exact"/>
        <w:ind w:firstLine="720"/>
        <w:jc w:val="both"/>
        <w:rPr>
          <w:rFonts w:ascii="Times New Roman" w:hAnsi="Times New Roman" w:cs="Times New Roman"/>
          <w:sz w:val="28"/>
          <w:szCs w:val="28"/>
        </w:rPr>
      </w:pPr>
      <w:r w:rsidRPr="00AB6156">
        <w:rPr>
          <w:rFonts w:ascii="Times New Roman" w:hAnsi="Times New Roman" w:cs="Times New Roman"/>
          <w:sz w:val="28"/>
          <w:szCs w:val="28"/>
        </w:rPr>
        <w:t>a)</w:t>
      </w:r>
      <w:r>
        <w:rPr>
          <w:rFonts w:ascii="Times New Roman" w:hAnsi="Times New Roman" w:cs="Times New Roman"/>
          <w:sz w:val="28"/>
          <w:szCs w:val="28"/>
        </w:rPr>
        <w:t xml:space="preserve"> </w:t>
      </w:r>
      <w:r w:rsidR="000F1493">
        <w:rPr>
          <w:rFonts w:ascii="Times New Roman" w:hAnsi="Times New Roman" w:cs="Times New Roman"/>
          <w:sz w:val="28"/>
          <w:szCs w:val="28"/>
        </w:rPr>
        <w:t>Về tình hình triển khai hệ thống quỹ hưu trí</w:t>
      </w:r>
    </w:p>
    <w:p w:rsidR="006B2F0A" w:rsidRDefault="006B2F0A" w:rsidP="00E12BD9">
      <w:pPr>
        <w:widowControl w:val="0"/>
        <w:spacing w:before="100" w:after="100" w:line="340" w:lineRule="exact"/>
        <w:ind w:firstLine="720"/>
        <w:jc w:val="both"/>
        <w:rPr>
          <w:rFonts w:ascii="Times New Roman" w:hAnsi="Times New Roman" w:cs="Times New Roman"/>
          <w:iCs/>
          <w:sz w:val="28"/>
          <w:szCs w:val="28"/>
        </w:rPr>
      </w:pPr>
      <w:r w:rsidRPr="006B2F0A">
        <w:rPr>
          <w:rFonts w:ascii="Times New Roman" w:hAnsi="Times New Roman" w:cs="Times New Roman"/>
          <w:sz w:val="28"/>
          <w:szCs w:val="28"/>
        </w:rPr>
        <w:t>Các doanh nghiệp quản lý quỹ hưu trí bắt đầu thành lập quỹ hưu trí từ năm 2021</w:t>
      </w:r>
      <w:r>
        <w:rPr>
          <w:rFonts w:ascii="Times New Roman" w:hAnsi="Times New Roman" w:cs="Times New Roman"/>
          <w:sz w:val="28"/>
          <w:szCs w:val="28"/>
        </w:rPr>
        <w:t xml:space="preserve">, đến nay, 04 doanh nghiệp được cấp Giấy chứng nhận đủ điều kiện kinh doanh dịch vụ quản lý quỹ hưu trí bổ sung tự nguyện đã thành lập và quản lý 07 quỹ hưu trí </w:t>
      </w:r>
      <w:r w:rsidR="00997A36" w:rsidRPr="00B42FF4">
        <w:rPr>
          <w:rFonts w:ascii="Times New Roman" w:hAnsi="Times New Roman" w:cs="Times New Roman"/>
          <w:iCs/>
          <w:sz w:val="28"/>
          <w:szCs w:val="28"/>
        </w:rPr>
        <w:t xml:space="preserve">với tổng trị giá tài sản của hệ thống quỹ hưu trí tính đến cuối năm 2024 đạt 1.549 tỷ đồng, tăng 68,7% so với năm 2023 và tăng gấp 18 lần so với năm 2021; tổng giá trị tài sản ròng là 1.444 tỷ đồng, tăng 68,4% so với cuối năm 2023 và gấp 17 lần so với năm 2021. Toàn hệ thống quỹ hưu trí đến cuối năm 2024 có 24.367 người tham gia, bao gồm người lao động của 30 doanh nghiệp sử dụng lao động và 85 cá nhân trực tiếp tham gia quỹ hưu trí. </w:t>
      </w:r>
      <w:r>
        <w:rPr>
          <w:rFonts w:ascii="Times New Roman" w:hAnsi="Times New Roman" w:cs="Times New Roman"/>
          <w:iCs/>
          <w:sz w:val="28"/>
          <w:szCs w:val="28"/>
        </w:rPr>
        <w:t>T</w:t>
      </w:r>
      <w:r w:rsidRPr="006B2F0A">
        <w:rPr>
          <w:rFonts w:ascii="Times New Roman" w:hAnsi="Times New Roman" w:cs="Times New Roman"/>
          <w:iCs/>
          <w:sz w:val="28"/>
          <w:szCs w:val="28"/>
        </w:rPr>
        <w:t>ổng số tài khoản người tham gia quỹ được quản trị tại Tổng công ty Lưu ký và Bù trừ chứng khoán Việt Nam tại thời điểm cuối năm 2024 là 24.744 tài khoản. Về hoạt động đóng góp và chỉ trả từ quỹ, riêng trong năm 2024, tổng số tiền đóng góp vào các quỹ hưu trí là 570,9 tỷ đồng, tổng số tiền chi trả là gần 33,2 tỷ đồng.</w:t>
      </w:r>
    </w:p>
    <w:p w:rsidR="006B2F0A" w:rsidRDefault="006B2F0A" w:rsidP="00E12BD9">
      <w:pPr>
        <w:widowControl w:val="0"/>
        <w:spacing w:before="100" w:after="100" w:line="340" w:lineRule="exact"/>
        <w:ind w:firstLine="720"/>
        <w:jc w:val="both"/>
        <w:rPr>
          <w:rFonts w:ascii="Times New Roman" w:eastAsia="Times New Roman" w:hAnsi="Times New Roman" w:cs="Times New Roman"/>
          <w:sz w:val="28"/>
          <w:szCs w:val="28"/>
        </w:rPr>
      </w:pPr>
      <w:r>
        <w:rPr>
          <w:rFonts w:ascii="Times New Roman" w:hAnsi="Times New Roman" w:cs="Times New Roman"/>
          <w:iCs/>
          <w:sz w:val="28"/>
          <w:szCs w:val="28"/>
        </w:rPr>
        <w:t xml:space="preserve">- </w:t>
      </w:r>
      <w:r>
        <w:rPr>
          <w:rFonts w:ascii="Times New Roman" w:eastAsia="Times New Roman" w:hAnsi="Times New Roman" w:cs="Times New Roman"/>
          <w:sz w:val="28"/>
          <w:szCs w:val="28"/>
        </w:rPr>
        <w:t>Tính đến hết quý II/2025, tổng giá trị tài sản của hệ thống quỹ hưu trí là 1.763 tỷ đồng, tăng 13,9% so với cuối năm 2024; trong đó quỹ có tổng tài sản lớn nhất là Quỹ Độc lập do SSIAM quản lý với tổng tài sản là 1,307 tỷ đồng, chiếm 74,1% tổng quy mô toàn hệ thống.</w:t>
      </w:r>
      <w:r w:rsidR="009C5ECE">
        <w:rPr>
          <w:rFonts w:ascii="Times New Roman" w:eastAsia="Times New Roman" w:hAnsi="Times New Roman" w:cs="Times New Roman"/>
          <w:sz w:val="28"/>
          <w:szCs w:val="28"/>
        </w:rPr>
        <w:t xml:space="preserve"> C</w:t>
      </w:r>
      <w:r w:rsidRPr="00B13FE2">
        <w:rPr>
          <w:rFonts w:ascii="Times New Roman" w:eastAsia="Times New Roman" w:hAnsi="Times New Roman" w:cs="Times New Roman"/>
          <w:sz w:val="28"/>
          <w:szCs w:val="28"/>
        </w:rPr>
        <w:t>ơ cấu tài sản</w:t>
      </w:r>
      <w:r w:rsidR="009C5ECE">
        <w:rPr>
          <w:rFonts w:ascii="Times New Roman" w:eastAsia="Times New Roman" w:hAnsi="Times New Roman" w:cs="Times New Roman"/>
          <w:sz w:val="28"/>
          <w:szCs w:val="28"/>
        </w:rPr>
        <w:t xml:space="preserve"> của hệ thống quỹ</w:t>
      </w:r>
      <w:r w:rsidRPr="00B13FE2">
        <w:rPr>
          <w:rFonts w:ascii="Times New Roman" w:eastAsia="Times New Roman" w:hAnsi="Times New Roman" w:cs="Times New Roman"/>
          <w:sz w:val="28"/>
          <w:szCs w:val="28"/>
        </w:rPr>
        <w:t xml:space="preserve"> bao gồm: (i) </w:t>
      </w:r>
      <w:r>
        <w:rPr>
          <w:rFonts w:ascii="Times New Roman" w:eastAsia="Times New Roman" w:hAnsi="Times New Roman" w:cs="Times New Roman"/>
          <w:sz w:val="28"/>
          <w:szCs w:val="28"/>
        </w:rPr>
        <w:t>49,12</w:t>
      </w:r>
      <w:r w:rsidRPr="00B13FE2">
        <w:rPr>
          <w:rFonts w:ascii="Times New Roman" w:eastAsia="Times New Roman" w:hAnsi="Times New Roman" w:cs="Times New Roman"/>
          <w:sz w:val="28"/>
          <w:szCs w:val="28"/>
        </w:rPr>
        <w:t xml:space="preserve">% là trái phiếu Chính phủ (TPCP); (ii) </w:t>
      </w:r>
      <w:r>
        <w:rPr>
          <w:rFonts w:ascii="Times New Roman" w:eastAsia="Times New Roman" w:hAnsi="Times New Roman" w:cs="Times New Roman"/>
          <w:sz w:val="28"/>
          <w:szCs w:val="28"/>
        </w:rPr>
        <w:t>34,34</w:t>
      </w:r>
      <w:r w:rsidRPr="00B13FE2">
        <w:rPr>
          <w:rFonts w:ascii="Times New Roman" w:eastAsia="Times New Roman" w:hAnsi="Times New Roman" w:cs="Times New Roman"/>
          <w:sz w:val="28"/>
          <w:szCs w:val="28"/>
        </w:rPr>
        <w:t>% là tiền và tương đương tiền; (iii) 15</w:t>
      </w:r>
      <w:r>
        <w:rPr>
          <w:rFonts w:ascii="Times New Roman" w:eastAsia="Times New Roman" w:hAnsi="Times New Roman" w:cs="Times New Roman"/>
          <w:sz w:val="28"/>
          <w:szCs w:val="28"/>
        </w:rPr>
        <w:t>,2</w:t>
      </w:r>
      <w:r w:rsidRPr="00B13FE2">
        <w:rPr>
          <w:rFonts w:ascii="Times New Roman" w:eastAsia="Times New Roman" w:hAnsi="Times New Roman" w:cs="Times New Roman"/>
          <w:sz w:val="28"/>
          <w:szCs w:val="28"/>
        </w:rPr>
        <w:t xml:space="preserve">% là chứng chỉ quỹ đầu tư chứng khoán; (iv) </w:t>
      </w:r>
      <w:r>
        <w:rPr>
          <w:rFonts w:ascii="Times New Roman" w:eastAsia="Times New Roman" w:hAnsi="Times New Roman" w:cs="Times New Roman"/>
          <w:sz w:val="28"/>
          <w:szCs w:val="28"/>
        </w:rPr>
        <w:t>1,36</w:t>
      </w:r>
      <w:r w:rsidRPr="00B13FE2">
        <w:rPr>
          <w:rFonts w:ascii="Times New Roman" w:eastAsia="Times New Roman" w:hAnsi="Times New Roman" w:cs="Times New Roman"/>
          <w:sz w:val="28"/>
          <w:szCs w:val="28"/>
        </w:rPr>
        <w:t>% là khoản phải thu từ lãi, cổ tức được nhận.</w:t>
      </w:r>
    </w:p>
    <w:p w:rsidR="006B2F0A" w:rsidRDefault="006B2F0A" w:rsidP="00E12BD9">
      <w:pPr>
        <w:widowControl w:val="0"/>
        <w:spacing w:before="100" w:after="10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 Về các kết quả đạt được</w:t>
      </w:r>
    </w:p>
    <w:p w:rsidR="000C11FD" w:rsidRDefault="000C11FD" w:rsidP="00E12BD9">
      <w:pPr>
        <w:widowControl w:val="0"/>
        <w:spacing w:before="100" w:after="100" w:line="340" w:lineRule="exact"/>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 Việc triển khai Nghị định số 88 đã hình thành hệ thống quỹ hưu trí bổ sung tự nguyện tại Việt Nam, góp phần </w:t>
      </w:r>
      <w:r w:rsidRPr="000C11FD">
        <w:rPr>
          <w:rFonts w:ascii="Times New Roman" w:hAnsi="Times New Roman" w:cs="Times New Roman"/>
          <w:iCs/>
          <w:sz w:val="28"/>
          <w:szCs w:val="28"/>
        </w:rPr>
        <w:t xml:space="preserve">đa dạng hóa các chương trình an sinh xã hội, giảm gánh nặng của ngân sách nhà nước cho công tác an sinh xã hội trong dài hạn. </w:t>
      </w:r>
    </w:p>
    <w:p w:rsidR="000C11FD" w:rsidRDefault="000C11FD" w:rsidP="00E12BD9">
      <w:pPr>
        <w:widowControl w:val="0"/>
        <w:spacing w:before="100" w:after="100" w:line="340" w:lineRule="exact"/>
        <w:ind w:firstLine="720"/>
        <w:jc w:val="both"/>
        <w:rPr>
          <w:rFonts w:ascii="Times New Roman" w:hAnsi="Times New Roman" w:cs="Times New Roman"/>
          <w:iCs/>
          <w:sz w:val="28"/>
          <w:szCs w:val="28"/>
        </w:rPr>
      </w:pPr>
      <w:r>
        <w:rPr>
          <w:rFonts w:ascii="Times New Roman" w:hAnsi="Times New Roman" w:cs="Times New Roman"/>
          <w:iCs/>
          <w:sz w:val="28"/>
          <w:szCs w:val="28"/>
        </w:rPr>
        <w:t>- V</w:t>
      </w:r>
      <w:r w:rsidRPr="000C11FD">
        <w:rPr>
          <w:rFonts w:ascii="Times New Roman" w:hAnsi="Times New Roman" w:cs="Times New Roman"/>
          <w:iCs/>
          <w:sz w:val="28"/>
          <w:szCs w:val="28"/>
        </w:rPr>
        <w:t xml:space="preserve">ới vai trò là một trong các trụ cột của chế độ an sinh xã hội và được tổ chức theo mô hình quỹ hình thành từ sự tham gia tự nguyện của doanh nghiệp sử dụng lao động và người lao động, các nội dung quy định tại </w:t>
      </w:r>
      <w:r>
        <w:rPr>
          <w:rFonts w:ascii="Times New Roman" w:hAnsi="Times New Roman" w:cs="Times New Roman"/>
          <w:iCs/>
          <w:sz w:val="28"/>
          <w:szCs w:val="28"/>
        </w:rPr>
        <w:t xml:space="preserve">Nghị định đã yêu cầu việc công khai thông tin về chương trình hưu trí, có cơ chế để người tham gia tiếp cận đầy đủ thông tin về tình hình đóng góp và giá trị tài khoản hưu trí cá nhân, qua đó, </w:t>
      </w:r>
      <w:r w:rsidRPr="000C11FD">
        <w:rPr>
          <w:rFonts w:ascii="Times New Roman" w:hAnsi="Times New Roman" w:cs="Times New Roman"/>
          <w:iCs/>
          <w:sz w:val="28"/>
          <w:szCs w:val="28"/>
        </w:rPr>
        <w:t>đảm bảo công khai, minh bạch chủ trương chính sách của Nhà nước để thu hút sự tham gia của đông đảo người lao động, người sử dụng lao động đối với sản phẩm bảo hiểm hưu trí bổ sung</w:t>
      </w:r>
      <w:r>
        <w:rPr>
          <w:rFonts w:ascii="Times New Roman" w:hAnsi="Times New Roman" w:cs="Times New Roman"/>
          <w:iCs/>
          <w:sz w:val="28"/>
          <w:szCs w:val="28"/>
        </w:rPr>
        <w:t>.</w:t>
      </w:r>
    </w:p>
    <w:p w:rsidR="006B2F0A" w:rsidRDefault="000C11FD" w:rsidP="00E12BD9">
      <w:pPr>
        <w:widowControl w:val="0"/>
        <w:spacing w:before="100" w:after="100" w:line="340" w:lineRule="exact"/>
        <w:ind w:firstLine="720"/>
        <w:jc w:val="both"/>
        <w:rPr>
          <w:rFonts w:ascii="Times New Roman" w:hAnsi="Times New Roman" w:cs="Times New Roman"/>
          <w:iCs/>
          <w:sz w:val="28"/>
          <w:szCs w:val="28"/>
        </w:rPr>
      </w:pPr>
      <w:r>
        <w:rPr>
          <w:rFonts w:ascii="Times New Roman" w:hAnsi="Times New Roman" w:cs="Times New Roman"/>
          <w:iCs/>
          <w:sz w:val="28"/>
          <w:szCs w:val="28"/>
        </w:rPr>
        <w:t xml:space="preserve">- Hệ thống quỹ hưu trí dù mới thành lập và trải qua giai đoạn biến động cùng với ảnh hưởng chung của thị trường tài chính trong nước và quốc tế, quy mô các quỹ vẫn có sự tăng trưởng tốt. Các chính sách về đầu tư, tập trung vào đầu tư TPCP của quỹ hưu trí cũng góp phần </w:t>
      </w:r>
      <w:r w:rsidRPr="000C11FD">
        <w:rPr>
          <w:rFonts w:ascii="Times New Roman" w:hAnsi="Times New Roman" w:cs="Times New Roman"/>
          <w:iCs/>
          <w:sz w:val="28"/>
          <w:szCs w:val="28"/>
        </w:rPr>
        <w:t>hỗ trợ phát triển thị trường vốn, thị trường trái phiếu thông qua việc củng cố cơ sở nhà đầu tư vốn dài hạn.</w:t>
      </w:r>
    </w:p>
    <w:p w:rsidR="000C11FD" w:rsidRDefault="000C11FD" w:rsidP="00E12BD9">
      <w:pPr>
        <w:widowControl w:val="0"/>
        <w:spacing w:before="100" w:after="100" w:line="340" w:lineRule="exact"/>
        <w:ind w:firstLine="720"/>
        <w:jc w:val="both"/>
        <w:rPr>
          <w:rFonts w:ascii="Times New Roman" w:hAnsi="Times New Roman" w:cs="Times New Roman"/>
          <w:iCs/>
          <w:sz w:val="28"/>
          <w:szCs w:val="28"/>
        </w:rPr>
      </w:pPr>
      <w:r>
        <w:rPr>
          <w:rFonts w:ascii="Times New Roman" w:hAnsi="Times New Roman" w:cs="Times New Roman"/>
          <w:iCs/>
          <w:sz w:val="28"/>
          <w:szCs w:val="28"/>
        </w:rPr>
        <w:t>c) Về các bất cập, hạn chế</w:t>
      </w:r>
    </w:p>
    <w:p w:rsidR="000C11FD" w:rsidRDefault="008E79BC" w:rsidP="00E12BD9">
      <w:pPr>
        <w:widowControl w:val="0"/>
        <w:spacing w:before="100" w:after="100" w:line="340" w:lineRule="exact"/>
        <w:ind w:firstLine="720"/>
        <w:jc w:val="both"/>
        <w:rPr>
          <w:rFonts w:ascii="Times New Roman" w:hAnsi="Times New Roman" w:cs="Times New Roman"/>
          <w:iCs/>
          <w:sz w:val="28"/>
          <w:szCs w:val="28"/>
        </w:rPr>
      </w:pPr>
      <w:r>
        <w:rPr>
          <w:rFonts w:ascii="Times New Roman" w:hAnsi="Times New Roman" w:cs="Times New Roman"/>
          <w:iCs/>
          <w:sz w:val="28"/>
          <w:szCs w:val="28"/>
        </w:rPr>
        <w:t>Trên cơ sở kết quả giám sát thông qua chế độ báo cáo định kỳ, kết quả kiểm tra trực tiếp tại doanh nghiệp và các văn bản kiến nghị của doanh nghiệp, việc tổ chức triển khai Nghị định số 88 còn một số bất cập như sau:</w:t>
      </w:r>
    </w:p>
    <w:p w:rsidR="008E79BC" w:rsidRDefault="008E79BC" w:rsidP="00E12BD9">
      <w:pPr>
        <w:widowControl w:val="0"/>
        <w:spacing w:before="100" w:after="100" w:line="340" w:lineRule="exact"/>
        <w:ind w:firstLine="720"/>
        <w:jc w:val="both"/>
        <w:rPr>
          <w:rFonts w:ascii="Times New Roman" w:hAnsi="Times New Roman" w:cs="Times New Roman"/>
          <w:iCs/>
          <w:sz w:val="28"/>
          <w:szCs w:val="28"/>
        </w:rPr>
      </w:pPr>
      <w:r w:rsidRPr="008E79BC">
        <w:rPr>
          <w:rFonts w:ascii="Times New Roman" w:hAnsi="Times New Roman" w:cs="Times New Roman"/>
          <w:iCs/>
          <w:sz w:val="28"/>
          <w:szCs w:val="28"/>
        </w:rPr>
        <w:t xml:space="preserve">- </w:t>
      </w:r>
      <w:r>
        <w:rPr>
          <w:rFonts w:ascii="Times New Roman" w:hAnsi="Times New Roman" w:cs="Times New Roman"/>
          <w:iCs/>
          <w:sz w:val="28"/>
          <w:szCs w:val="28"/>
        </w:rPr>
        <w:t>Các quy định về chính sách thuế đối với quỹ hưu trí, đặc biệt là việc chi trả từ quỹ hưu trí còn vướng mắc. Theo đó, cần rà soát, b</w:t>
      </w:r>
      <w:r w:rsidRPr="008E79BC">
        <w:rPr>
          <w:rFonts w:ascii="Times New Roman" w:hAnsi="Times New Roman" w:cs="Times New Roman"/>
          <w:iCs/>
          <w:sz w:val="28"/>
          <w:szCs w:val="28"/>
        </w:rPr>
        <w:t>an hành chính sách thuế hoàn chỉ</w:t>
      </w:r>
      <w:r w:rsidR="009C5ECE">
        <w:rPr>
          <w:rFonts w:ascii="Times New Roman" w:hAnsi="Times New Roman" w:cs="Times New Roman"/>
          <w:iCs/>
          <w:sz w:val="28"/>
          <w:szCs w:val="28"/>
        </w:rPr>
        <w:t xml:space="preserve">nh </w:t>
      </w:r>
      <w:r w:rsidRPr="008E79BC">
        <w:rPr>
          <w:rFonts w:ascii="Times New Roman" w:hAnsi="Times New Roman" w:cs="Times New Roman"/>
          <w:iCs/>
          <w:sz w:val="28"/>
          <w:szCs w:val="28"/>
        </w:rPr>
        <w:t>và phù hợp với quỹ hưu trí bổ sung tự nguyện (thuế TNCN và thuế TNDN).</w:t>
      </w:r>
    </w:p>
    <w:p w:rsidR="008E79BC" w:rsidRPr="00B42FF4" w:rsidRDefault="008E79BC" w:rsidP="00E12BD9">
      <w:pPr>
        <w:widowControl w:val="0"/>
        <w:spacing w:before="100" w:after="100" w:line="340" w:lineRule="exact"/>
        <w:ind w:firstLine="720"/>
        <w:jc w:val="both"/>
        <w:rPr>
          <w:rFonts w:ascii="Times New Roman" w:hAnsi="Times New Roman" w:cs="Times New Roman"/>
          <w:iCs/>
          <w:sz w:val="28"/>
          <w:szCs w:val="28"/>
        </w:rPr>
      </w:pPr>
      <w:r w:rsidRPr="008E79BC">
        <w:rPr>
          <w:rFonts w:ascii="Times New Roman" w:hAnsi="Times New Roman" w:cs="Times New Roman"/>
          <w:iCs/>
          <w:sz w:val="28"/>
          <w:szCs w:val="28"/>
        </w:rPr>
        <w:t xml:space="preserve">- </w:t>
      </w:r>
      <w:r>
        <w:rPr>
          <w:rFonts w:ascii="Times New Roman" w:hAnsi="Times New Roman" w:cs="Times New Roman"/>
          <w:iCs/>
          <w:sz w:val="28"/>
          <w:szCs w:val="28"/>
        </w:rPr>
        <w:t>C</w:t>
      </w:r>
      <w:r w:rsidRPr="008E79BC">
        <w:rPr>
          <w:rFonts w:ascii="Times New Roman" w:hAnsi="Times New Roman" w:cs="Times New Roman"/>
          <w:iCs/>
          <w:sz w:val="28"/>
          <w:szCs w:val="28"/>
        </w:rPr>
        <w:t>ác vướng mắc trong triển khai cung cấp dịch vụ quản lý quỹ hưu trí gồm: (i)</w:t>
      </w:r>
      <w:r>
        <w:rPr>
          <w:rFonts w:ascii="Times New Roman" w:hAnsi="Times New Roman" w:cs="Times New Roman"/>
          <w:iCs/>
          <w:sz w:val="28"/>
          <w:szCs w:val="28"/>
        </w:rPr>
        <w:t xml:space="preserve"> </w:t>
      </w:r>
      <w:r w:rsidRPr="008E79BC">
        <w:rPr>
          <w:rFonts w:ascii="Times New Roman" w:hAnsi="Times New Roman" w:cs="Times New Roman"/>
          <w:iCs/>
          <w:sz w:val="28"/>
          <w:szCs w:val="28"/>
        </w:rPr>
        <w:t xml:space="preserve">quy định về hạn mức đầu tư </w:t>
      </w:r>
      <w:r>
        <w:rPr>
          <w:rFonts w:ascii="Times New Roman" w:hAnsi="Times New Roman" w:cs="Times New Roman"/>
          <w:iCs/>
          <w:sz w:val="28"/>
          <w:szCs w:val="28"/>
        </w:rPr>
        <w:t xml:space="preserve">tối thiểu vào TPCP dẫn đến nhiều trường hợp không thể đáp ứng dẫn đến </w:t>
      </w:r>
      <w:r w:rsidRPr="008E79BC">
        <w:rPr>
          <w:rFonts w:ascii="Times New Roman" w:hAnsi="Times New Roman" w:cs="Times New Roman"/>
          <w:iCs/>
          <w:sz w:val="28"/>
          <w:szCs w:val="28"/>
        </w:rPr>
        <w:t>hiện trạng không tuân thủ</w:t>
      </w:r>
      <w:r>
        <w:rPr>
          <w:rFonts w:ascii="Times New Roman" w:hAnsi="Times New Roman" w:cs="Times New Roman"/>
          <w:iCs/>
          <w:sz w:val="28"/>
          <w:szCs w:val="28"/>
        </w:rPr>
        <w:t xml:space="preserve"> của một số quỹ</w:t>
      </w:r>
      <w:r w:rsidRPr="008E79BC">
        <w:rPr>
          <w:rFonts w:ascii="Times New Roman" w:hAnsi="Times New Roman" w:cs="Times New Roman"/>
          <w:iCs/>
          <w:sz w:val="28"/>
          <w:szCs w:val="28"/>
        </w:rPr>
        <w:t xml:space="preserve"> do các yếu tố khách quan; (ii) </w:t>
      </w:r>
      <w:r w:rsidR="00E2455A">
        <w:rPr>
          <w:rFonts w:ascii="Times New Roman" w:hAnsi="Times New Roman" w:cs="Times New Roman"/>
          <w:iCs/>
          <w:sz w:val="28"/>
          <w:szCs w:val="28"/>
        </w:rPr>
        <w:t>cần</w:t>
      </w:r>
      <w:r>
        <w:rPr>
          <w:rFonts w:ascii="Times New Roman" w:hAnsi="Times New Roman" w:cs="Times New Roman"/>
          <w:iCs/>
          <w:sz w:val="28"/>
          <w:szCs w:val="28"/>
        </w:rPr>
        <w:t xml:space="preserve"> thêm </w:t>
      </w:r>
      <w:r w:rsidRPr="008E79BC">
        <w:rPr>
          <w:rFonts w:ascii="Times New Roman" w:hAnsi="Times New Roman" w:cs="Times New Roman"/>
          <w:iCs/>
          <w:sz w:val="28"/>
          <w:szCs w:val="28"/>
        </w:rPr>
        <w:t>quy định</w:t>
      </w:r>
      <w:r>
        <w:rPr>
          <w:rFonts w:ascii="Times New Roman" w:hAnsi="Times New Roman" w:cs="Times New Roman"/>
          <w:iCs/>
          <w:sz w:val="28"/>
          <w:szCs w:val="28"/>
        </w:rPr>
        <w:t xml:space="preserve"> </w:t>
      </w:r>
      <w:r w:rsidRPr="008E79BC">
        <w:rPr>
          <w:rFonts w:ascii="Times New Roman" w:hAnsi="Times New Roman" w:cs="Times New Roman"/>
          <w:iCs/>
          <w:sz w:val="28"/>
          <w:szCs w:val="28"/>
        </w:rPr>
        <w:t xml:space="preserve">cụ thể về chế độ báo cáo tài chính và các biểu mẫu cụ thể áp dụng với quỹ hưu trí bổ sung tự nguyện; (iii) </w:t>
      </w:r>
      <w:r w:rsidR="00E2455A">
        <w:rPr>
          <w:rFonts w:ascii="Times New Roman" w:hAnsi="Times New Roman" w:cs="Times New Roman"/>
          <w:iCs/>
          <w:sz w:val="28"/>
          <w:szCs w:val="28"/>
        </w:rPr>
        <w:t>chưa có</w:t>
      </w:r>
      <w:r w:rsidRPr="008E79BC">
        <w:rPr>
          <w:rFonts w:ascii="Times New Roman" w:hAnsi="Times New Roman" w:cs="Times New Roman"/>
          <w:iCs/>
          <w:sz w:val="28"/>
          <w:szCs w:val="28"/>
        </w:rPr>
        <w:t xml:space="preserve"> quy định về các trường hợp bất khả kháng nhận chi trả từ quỹ hưu trí (tử vong, bại liệt, mất khả năng lao động, mắc bệnh ung thư, bệnh hiểm nghèo, chuyển định cư sang nước ngoài…).</w:t>
      </w:r>
    </w:p>
    <w:p w:rsidR="00932837" w:rsidRDefault="00932837" w:rsidP="00E12BD9">
      <w:pPr>
        <w:widowControl w:val="0"/>
        <w:spacing w:before="100" w:after="100" w:line="340" w:lineRule="exact"/>
        <w:ind w:firstLine="720"/>
        <w:jc w:val="both"/>
        <w:rPr>
          <w:rFonts w:ascii="Times New Roman" w:hAnsi="Times New Roman" w:cs="Times New Roman"/>
          <w:b/>
          <w:sz w:val="28"/>
          <w:szCs w:val="28"/>
        </w:rPr>
      </w:pPr>
      <w:r w:rsidRPr="00932837">
        <w:rPr>
          <w:rFonts w:ascii="Times New Roman" w:hAnsi="Times New Roman" w:cs="Times New Roman"/>
          <w:b/>
          <w:sz w:val="28"/>
          <w:szCs w:val="28"/>
        </w:rPr>
        <w:t>3. Khó khăn, vướng mắc và nguyên nhân</w:t>
      </w:r>
    </w:p>
    <w:p w:rsidR="00313A8B" w:rsidRDefault="00313A8B" w:rsidP="00E12BD9">
      <w:pPr>
        <w:widowControl w:val="0"/>
        <w:spacing w:before="100" w:after="10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w:t>
      </w:r>
      <w:r w:rsidR="008E79BC">
        <w:rPr>
          <w:rFonts w:ascii="Times New Roman" w:hAnsi="Times New Roman" w:cs="Times New Roman"/>
          <w:bCs/>
          <w:sz w:val="28"/>
          <w:szCs w:val="28"/>
        </w:rPr>
        <w:t xml:space="preserve"> </w:t>
      </w:r>
      <w:r w:rsidR="008E79BC" w:rsidRPr="008E79BC">
        <w:rPr>
          <w:rFonts w:ascii="Times New Roman" w:hAnsi="Times New Roman" w:cs="Times New Roman"/>
          <w:bCs/>
          <w:sz w:val="28"/>
          <w:szCs w:val="28"/>
        </w:rPr>
        <w:t>Hiện nay, nhận thức chung của người dân về các sản phẩm tài chính và ý thức thực thi pháp luật của các chủ thể tham gia thị trường vốn, thị trường tài chính còn chưa cao. Niềm tin của nhà đầu tư, người tiêu dùng trên thị trường tài chính suy giảm sau một số vụ việc vi phạm và biến động trên thị trường tài chính nên việc thu hút người dân tham gia vào các sản phẩm dài hạn như quỹ hưu trí bổ sung tự nguyện gặp khó khăn. Bản thân các doanh nghiệp bảo hiểm nhân thọ thời gian qua cũng khó mở rộng phát triển sản phẩm bảo hiểm hưu trí, doanh thu bảo hiểm nhân thọ giảm đáng kể</w:t>
      </w:r>
      <w:r w:rsidR="008E79BC">
        <w:rPr>
          <w:rFonts w:ascii="Times New Roman" w:hAnsi="Times New Roman" w:cs="Times New Roman"/>
          <w:bCs/>
          <w:sz w:val="28"/>
          <w:szCs w:val="28"/>
        </w:rPr>
        <w:t>, đặc biệt</w:t>
      </w:r>
      <w:r w:rsidR="008E79BC" w:rsidRPr="008E79BC">
        <w:rPr>
          <w:rFonts w:ascii="Times New Roman" w:hAnsi="Times New Roman" w:cs="Times New Roman"/>
          <w:bCs/>
          <w:sz w:val="28"/>
          <w:szCs w:val="28"/>
        </w:rPr>
        <w:t xml:space="preserve"> trong năm 2023</w:t>
      </w:r>
      <w:r w:rsidR="008E79BC">
        <w:rPr>
          <w:rFonts w:ascii="Times New Roman" w:hAnsi="Times New Roman" w:cs="Times New Roman"/>
          <w:bCs/>
          <w:sz w:val="28"/>
          <w:szCs w:val="28"/>
        </w:rPr>
        <w:t>, 2024</w:t>
      </w:r>
      <w:r w:rsidR="008E79BC" w:rsidRPr="008E79BC">
        <w:rPr>
          <w:rFonts w:ascii="Times New Roman" w:hAnsi="Times New Roman" w:cs="Times New Roman"/>
          <w:bCs/>
          <w:sz w:val="28"/>
          <w:szCs w:val="28"/>
        </w:rPr>
        <w:t xml:space="preserve"> do tác động từ niềm tin sụt giảm.</w:t>
      </w:r>
      <w:r w:rsidR="00224D72">
        <w:rPr>
          <w:rFonts w:ascii="Times New Roman" w:hAnsi="Times New Roman" w:cs="Times New Roman"/>
          <w:bCs/>
          <w:sz w:val="28"/>
          <w:szCs w:val="28"/>
        </w:rPr>
        <w:t xml:space="preserve"> Do đó, việc xây dựng chính sách để triển khai sản phẩm bảo hiểm hưu trí bổ sung cần được thiết kế để đảm bảo quyền lợi của người tham gia, có các chính sách ưu đãi khuyến khích người lao động và người sử dụng lao động tham gia trên cơ sở tự nguyện và được cung cấp thông tin một cách công khai, minh bạch.</w:t>
      </w:r>
    </w:p>
    <w:p w:rsidR="00313A8B" w:rsidRPr="00313A8B" w:rsidRDefault="00313A8B" w:rsidP="00E12BD9">
      <w:pPr>
        <w:spacing w:before="100" w:after="100" w:line="340" w:lineRule="exact"/>
        <w:ind w:firstLine="720"/>
        <w:jc w:val="both"/>
        <w:rPr>
          <w:rFonts w:ascii="Times New Roman" w:eastAsia="Calibri" w:hAnsi="Times New Roman" w:cs="Times New Roman"/>
          <w:sz w:val="28"/>
          <w:szCs w:val="28"/>
          <w:lang w:val="nl-NL"/>
        </w:rPr>
      </w:pPr>
      <w:r>
        <w:rPr>
          <w:rFonts w:ascii="Times New Roman" w:eastAsia="Calibri" w:hAnsi="Times New Roman" w:cs="Times New Roman"/>
          <w:sz w:val="28"/>
          <w:szCs w:val="28"/>
          <w:lang w:val="nl-NL"/>
        </w:rPr>
        <w:t xml:space="preserve">- </w:t>
      </w:r>
      <w:r w:rsidRPr="00313A8B">
        <w:rPr>
          <w:rFonts w:ascii="Times New Roman" w:eastAsia="Calibri" w:hAnsi="Times New Roman" w:cs="Times New Roman"/>
          <w:sz w:val="28"/>
          <w:szCs w:val="28"/>
          <w:lang w:val="nl-NL"/>
        </w:rPr>
        <w:t>Bên cạnh việc tuân thủ quy định về cung cấp dịch vụ quản lý quỹ hưu trí, doanh nghiệp quản lý quỹ hưu trí còn phải tuân thủ các quy định của pháp luật chuyên ngành (Luật Kinh doanh bảo hiểm và Luật Chứng khoán). Trường hợp các doanh nghiệp này vi phạm quy định của pháp luật chuyên ngành, bị xử lý vi phạm hoặc bị thu hồi giấy phép hoạt động trong lĩnh vực bảo hiểm hoặc quản lý quỹ đầu tư chứng khoán thì cũng sẽ bị buộc thu hồi Giấy chứng nhận đủ điều kiện kinh doanh dịch vụ quản lý quỹ hưu trí</w:t>
      </w:r>
      <w:r w:rsidRPr="00313A8B">
        <w:rPr>
          <w:rFonts w:ascii="Times New Roman" w:eastAsia="Calibri" w:hAnsi="Times New Roman" w:cs="Times New Roman"/>
          <w:sz w:val="28"/>
          <w:szCs w:val="28"/>
          <w:lang w:val="vi-VN"/>
        </w:rPr>
        <w:t xml:space="preserve"> bổ sung tự nguyện</w:t>
      </w:r>
      <w:r w:rsidRPr="00313A8B">
        <w:rPr>
          <w:rFonts w:ascii="Times New Roman" w:eastAsia="Calibri" w:hAnsi="Times New Roman" w:cs="Times New Roman"/>
          <w:sz w:val="28"/>
          <w:szCs w:val="28"/>
          <w:lang w:val="nl-NL"/>
        </w:rPr>
        <w:t>, ảnh hưởng đến người tham gia quỹ hưu trí</w:t>
      </w:r>
      <w:r w:rsidRPr="00313A8B">
        <w:rPr>
          <w:rFonts w:ascii="Times New Roman" w:eastAsia="Calibri" w:hAnsi="Times New Roman" w:cs="Times New Roman"/>
          <w:sz w:val="28"/>
          <w:szCs w:val="28"/>
          <w:vertAlign w:val="superscript"/>
        </w:rPr>
        <w:footnoteReference w:id="6"/>
      </w:r>
      <w:r w:rsidRPr="00313A8B">
        <w:rPr>
          <w:rFonts w:ascii="Times New Roman" w:eastAsia="Calibri" w:hAnsi="Times New Roman" w:cs="Times New Roman"/>
          <w:sz w:val="28"/>
          <w:szCs w:val="28"/>
          <w:lang w:val="nl-NL"/>
        </w:rPr>
        <w:t xml:space="preserve">, trong khi việc tham gia các quỹ này là dài hạn và cần có sự ổn định trong hoạt động. Vì vậy, cần thiết </w:t>
      </w:r>
      <w:r w:rsidR="00224D72">
        <w:rPr>
          <w:rFonts w:ascii="Times New Roman" w:eastAsia="Calibri" w:hAnsi="Times New Roman" w:cs="Times New Roman"/>
          <w:sz w:val="28"/>
          <w:szCs w:val="28"/>
          <w:lang w:val="nl-NL"/>
        </w:rPr>
        <w:t xml:space="preserve">quy định chặt chẽ cơ chế quản lý giám sát </w:t>
      </w:r>
      <w:r w:rsidRPr="00313A8B">
        <w:rPr>
          <w:rFonts w:ascii="Times New Roman" w:eastAsia="Calibri" w:hAnsi="Times New Roman" w:cs="Times New Roman"/>
          <w:sz w:val="28"/>
          <w:szCs w:val="28"/>
          <w:lang w:val="nl-NL"/>
        </w:rPr>
        <w:t xml:space="preserve">triển khai chương trình hưu trí bổ sung </w:t>
      </w:r>
      <w:r w:rsidRPr="00313A8B">
        <w:rPr>
          <w:rFonts w:ascii="Times New Roman" w:eastAsia="Calibri" w:hAnsi="Times New Roman" w:cs="Times New Roman"/>
          <w:sz w:val="28"/>
          <w:szCs w:val="28"/>
          <w:lang w:val="vi-VN"/>
        </w:rPr>
        <w:t xml:space="preserve">tự nguyện </w:t>
      </w:r>
      <w:r w:rsidRPr="00313A8B">
        <w:rPr>
          <w:rFonts w:ascii="Times New Roman" w:eastAsia="Calibri" w:hAnsi="Times New Roman" w:cs="Times New Roman"/>
          <w:sz w:val="28"/>
          <w:szCs w:val="28"/>
          <w:lang w:val="nl-NL"/>
        </w:rPr>
        <w:t xml:space="preserve">để đảm bảo tính an toàn, bền vững của hệ thống. </w:t>
      </w:r>
    </w:p>
    <w:p w:rsidR="00313A8B" w:rsidRPr="00313A8B" w:rsidRDefault="00313A8B" w:rsidP="00E12BD9">
      <w:pPr>
        <w:widowControl w:val="0"/>
        <w:spacing w:before="100" w:after="10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 </w:t>
      </w:r>
      <w:r w:rsidRPr="00313A8B">
        <w:rPr>
          <w:rFonts w:ascii="Times New Roman" w:hAnsi="Times New Roman" w:cs="Times New Roman"/>
          <w:bCs/>
          <w:sz w:val="28"/>
          <w:szCs w:val="28"/>
        </w:rPr>
        <w:t>Nghị định số 88 quy định danh mục đầu tư của quỹ hưu trí bổ sung tự nguyện gồm: (i) tiền gửi tại các NHTM đáp ứng đủ điều kiện quy định về chính sách đầu tư của quỹ tại Điều lệ quỹ hưu trí; (ii) trái phiếu Chính phủ (TPCP); trái phiếu được Chính phủ bảo lãnh; trái phiếu chính quyền địa phương; (iii) chứng chỉ quỹ đầu tư chứng khoán theo điều kiện quy định về chính sách đầu tư của quỹ tại Điều lệ quỹ hưu trí. Về hạn mức đầu tư, Nghị định số 88 và Thông tư số 86 quy định: (i) tỷ trọng giá trị đầu tư TPCP tối thiểu bằng 50% trong tổng giá trị tài sản quỹ hưu trí; (ii) quỹ hưu trí được đầu tư không vượt quá 20% tổng giá trị tài sản của quỹ vào chứng chỉ của một quỹ đầu tư chứng khoán. Cơ chế đầu tư của quỹ hưu trí tương tự quỹ đầu tư chứng khoán.</w:t>
      </w:r>
    </w:p>
    <w:p w:rsidR="00313A8B" w:rsidRPr="008E79BC" w:rsidRDefault="00313A8B" w:rsidP="00E12BD9">
      <w:pPr>
        <w:widowControl w:val="0"/>
        <w:spacing w:before="100" w:after="100" w:line="340" w:lineRule="exact"/>
        <w:ind w:firstLine="720"/>
        <w:jc w:val="both"/>
        <w:rPr>
          <w:rFonts w:ascii="Times New Roman" w:hAnsi="Times New Roman" w:cs="Times New Roman"/>
          <w:bCs/>
          <w:sz w:val="28"/>
          <w:szCs w:val="28"/>
        </w:rPr>
      </w:pPr>
      <w:r w:rsidRPr="00313A8B">
        <w:rPr>
          <w:rFonts w:ascii="Times New Roman" w:hAnsi="Times New Roman" w:cs="Times New Roman"/>
          <w:bCs/>
          <w:sz w:val="28"/>
          <w:szCs w:val="28"/>
        </w:rPr>
        <w:t xml:space="preserve">Triển khai thời gian vừa qua cho thấy nhiều quỹ gặp khó khăn trong việc đáp ứng tỷ trọng đầu tư tối thiểu vào TPCP do (i) một số quỹ có quy mô nhỏ, mới thành lập nên chưa thể giao dịch TPCP trên thị trường thứ cấp; (ii) thời gian qua lãi suất TPCP thấp nên việc đầu tư tối thiểu 50% tổng giá trị tài sản quỹ dẫn đến tỷ lệ sinh lời của quỹ thấp; do đó, các quỹ có gặp khó khăn trong hoạt động, tương tự như bối cảnh của các nước châu Âu trong giai đoạn 2021-2023. </w:t>
      </w:r>
    </w:p>
    <w:p w:rsidR="00932837" w:rsidRDefault="00932837" w:rsidP="00E12BD9">
      <w:pPr>
        <w:widowControl w:val="0"/>
        <w:spacing w:before="100" w:after="100" w:line="340" w:lineRule="exact"/>
        <w:ind w:firstLine="720"/>
        <w:jc w:val="both"/>
        <w:rPr>
          <w:rFonts w:ascii="Times New Roman" w:hAnsi="Times New Roman" w:cs="Times New Roman"/>
          <w:b/>
          <w:sz w:val="28"/>
          <w:szCs w:val="28"/>
        </w:rPr>
      </w:pPr>
      <w:r w:rsidRPr="00932837">
        <w:rPr>
          <w:rFonts w:ascii="Times New Roman" w:hAnsi="Times New Roman" w:cs="Times New Roman"/>
          <w:b/>
          <w:sz w:val="28"/>
          <w:szCs w:val="28"/>
        </w:rPr>
        <w:t>4. Xác định những vấn đề mới phát sinh trong thực tiễn</w:t>
      </w:r>
    </w:p>
    <w:p w:rsidR="008A7217" w:rsidRDefault="008E79BC" w:rsidP="00E12BD9">
      <w:pPr>
        <w:widowControl w:val="0"/>
        <w:spacing w:before="100" w:after="10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a) Về đối tượng tham gia</w:t>
      </w:r>
    </w:p>
    <w:p w:rsidR="00224D72" w:rsidRPr="00224D72" w:rsidRDefault="00224D72" w:rsidP="00E12BD9">
      <w:pPr>
        <w:widowControl w:val="0"/>
        <w:spacing w:before="100" w:after="100" w:line="340" w:lineRule="exact"/>
        <w:ind w:firstLine="720"/>
        <w:jc w:val="both"/>
        <w:outlineLvl w:val="0"/>
        <w:rPr>
          <w:rFonts w:ascii="Times New Roman" w:eastAsia="Times New Roman" w:hAnsi="Times New Roman" w:cs="Times New Roman"/>
          <w:sz w:val="28"/>
          <w:szCs w:val="28"/>
          <w:lang w:val="nl-NL"/>
        </w:rPr>
      </w:pPr>
      <w:r w:rsidRPr="00224D72">
        <w:rPr>
          <w:rFonts w:ascii="Times New Roman" w:eastAsia="Times New Roman" w:hAnsi="Times New Roman" w:cs="Times New Roman"/>
          <w:sz w:val="28"/>
          <w:szCs w:val="28"/>
          <w:lang w:val="nl-NL"/>
        </w:rPr>
        <w:t xml:space="preserve">- Luật BHXH năm 2024 quy định </w:t>
      </w:r>
      <w:r w:rsidRPr="00224D72">
        <w:rPr>
          <w:rFonts w:ascii="Times New Roman" w:eastAsia="Times New Roman" w:hAnsi="Times New Roman" w:cs="Times New Roman"/>
          <w:i/>
          <w:iCs/>
          <w:sz w:val="28"/>
          <w:szCs w:val="28"/>
          <w:lang w:val="nl-NL"/>
        </w:rPr>
        <w:t xml:space="preserve">bảo hiểm hưu trí bổ sung là loại hình bảo hiểm mang tính chất tự nguyện theo nguyên tắc thị trường nhằm bổ sung cho chế độ hưu trí trong bảo hiểm xã hội bắt buộc, có cơ chế tạo lập quỹ từ đóng góp của người sử dụng lao động hoặc của người sử dụng lao động và người lao động </w:t>
      </w:r>
      <w:r w:rsidRPr="00224D72">
        <w:rPr>
          <w:rFonts w:ascii="Times New Roman" w:eastAsia="Times New Roman" w:hAnsi="Times New Roman" w:cs="Times New Roman"/>
          <w:iCs/>
          <w:sz w:val="28"/>
          <w:szCs w:val="28"/>
          <w:lang w:val="nl-NL"/>
        </w:rPr>
        <w:t>(</w:t>
      </w:r>
      <w:r w:rsidRPr="00224D72">
        <w:rPr>
          <w:rFonts w:ascii="Times New Roman" w:eastAsia="Times New Roman" w:hAnsi="Times New Roman" w:cs="Times New Roman"/>
          <w:sz w:val="28"/>
          <w:szCs w:val="28"/>
          <w:lang w:val="nl-NL"/>
        </w:rPr>
        <w:t xml:space="preserve">Khoản 5 Điều 3); </w:t>
      </w:r>
      <w:r w:rsidRPr="00224D72">
        <w:rPr>
          <w:rFonts w:ascii="Times New Roman" w:eastAsia="Times New Roman" w:hAnsi="Times New Roman" w:cs="Times New Roman"/>
          <w:i/>
          <w:sz w:val="28"/>
          <w:szCs w:val="28"/>
          <w:lang w:val="nl-NL"/>
        </w:rPr>
        <w:t xml:space="preserve">đối tượng tham gia bảo hiểm hưu trí bổ sung là người sử dụng lao động và người lao động </w:t>
      </w:r>
      <w:r w:rsidRPr="00224D72">
        <w:rPr>
          <w:rFonts w:ascii="Times New Roman" w:eastAsia="Times New Roman" w:hAnsi="Times New Roman" w:cs="Times New Roman"/>
          <w:sz w:val="28"/>
          <w:szCs w:val="28"/>
          <w:lang w:val="nl-NL"/>
        </w:rPr>
        <w:t xml:space="preserve">(Điều 124). </w:t>
      </w:r>
    </w:p>
    <w:p w:rsidR="00224D72" w:rsidRPr="00224D72" w:rsidRDefault="00224D72" w:rsidP="00E12BD9">
      <w:pPr>
        <w:spacing w:before="100" w:after="100" w:line="340" w:lineRule="exact"/>
        <w:ind w:firstLine="720"/>
        <w:jc w:val="both"/>
        <w:rPr>
          <w:rFonts w:ascii="Times New Roman" w:eastAsia="MS Mincho" w:hAnsi="Times New Roman" w:cs="Times New Roman"/>
          <w:bCs/>
          <w:sz w:val="28"/>
          <w:szCs w:val="28"/>
          <w:lang w:val="pt-BR" w:eastAsia="ja-JP"/>
        </w:rPr>
      </w:pPr>
      <w:r w:rsidRPr="00224D72">
        <w:rPr>
          <w:rFonts w:ascii="Times New Roman" w:eastAsia="Times New Roman" w:hAnsi="Times New Roman" w:cs="Times New Roman"/>
          <w:sz w:val="28"/>
          <w:szCs w:val="28"/>
          <w:lang w:val="nl-NL"/>
        </w:rPr>
        <w:t xml:space="preserve">- Theo đó, </w:t>
      </w:r>
      <w:r w:rsidRPr="00224D72">
        <w:rPr>
          <w:rFonts w:ascii="Times New Roman" w:eastAsia="Times New Roman" w:hAnsi="Times New Roman" w:cs="Times New Roman"/>
          <w:sz w:val="28"/>
          <w:szCs w:val="28"/>
        </w:rPr>
        <w:t>Luật BHXH năm 2024 không cho phép người lao động hoặc cá nhân trực tiếp tham gia bảo hiểm hưu trí bổ sung như quy định trước đây tại Luật BHXH năm 2014 và Nghị định số 88</w:t>
      </w:r>
      <w:r w:rsidRPr="00224D72">
        <w:rPr>
          <w:rFonts w:ascii="Times New Roman" w:eastAsia="Times New Roman" w:hAnsi="Times New Roman" w:cs="Times New Roman"/>
          <w:sz w:val="28"/>
          <w:szCs w:val="28"/>
          <w:vertAlign w:val="superscript"/>
        </w:rPr>
        <w:footnoteReference w:id="7"/>
      </w:r>
      <w:r w:rsidRPr="00224D72">
        <w:rPr>
          <w:rFonts w:ascii="Times New Roman" w:eastAsia="Times New Roman" w:hAnsi="Times New Roman" w:cs="Times New Roman"/>
          <w:sz w:val="28"/>
          <w:szCs w:val="28"/>
        </w:rPr>
        <w:t xml:space="preserve"> (mà phải tham gia cùng với doanh nghiệp sử dụng lao động). Căn cứ các quy định mới tại Luật BHXH năm 2024, dự thảo Nghị định quy định người tham gia quỹ hưu trí là người sử dụng lao động và người lao động đã tham gia bảo hiểm xã hội bắt buộc và tự nguyện tham gia bảo hiểm hưu trí bổ sung; không còn đối tượng cá nhân không có hợp đồng lao động tham gia bảo hiểm hưu trí bổ sung. </w:t>
      </w:r>
    </w:p>
    <w:p w:rsidR="008E79BC" w:rsidRDefault="00224D72" w:rsidP="00E12BD9">
      <w:pPr>
        <w:widowControl w:val="0"/>
        <w:spacing w:before="100" w:after="10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Đồng thời, dự thảo Nghị định cũng phải rà soát, bổ sung điều khoản chuyển tiếp đối với các cá nhân đang tham gia trực tiếp vào chương trình hưu trí bổ sung tự nguyện hiện nay để đảm bảo quyền lời người tham gia và phù hợp với quy định mới tại Luật.</w:t>
      </w:r>
    </w:p>
    <w:p w:rsidR="008E79BC" w:rsidRDefault="008E79BC" w:rsidP="00E12BD9">
      <w:pPr>
        <w:widowControl w:val="0"/>
        <w:spacing w:before="100" w:after="10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b) Về định hướng cắt giảm, đơn giản hóa thủ tục hành chính, điều kiện kinh doanh</w:t>
      </w:r>
    </w:p>
    <w:p w:rsidR="008E79BC" w:rsidRDefault="00313A8B" w:rsidP="00E12BD9">
      <w:pPr>
        <w:widowControl w:val="0"/>
        <w:spacing w:before="100" w:after="10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 xml:space="preserve">Theo </w:t>
      </w:r>
      <w:r w:rsidRPr="00313A8B">
        <w:rPr>
          <w:rFonts w:ascii="Times New Roman" w:hAnsi="Times New Roman" w:cs="Times New Roman"/>
          <w:bCs/>
          <w:sz w:val="28"/>
          <w:szCs w:val="28"/>
        </w:rPr>
        <w:t>Nghị quyết số 68-NQ/TW</w:t>
      </w:r>
      <w:r>
        <w:rPr>
          <w:rFonts w:ascii="Times New Roman" w:hAnsi="Times New Roman" w:cs="Times New Roman"/>
          <w:bCs/>
          <w:sz w:val="28"/>
          <w:szCs w:val="28"/>
        </w:rPr>
        <w:t xml:space="preserve"> về phát triển kinh tế tư nhân, Đảng, Chính phủ chủ trương</w:t>
      </w:r>
      <w:r w:rsidRPr="00313A8B">
        <w:rPr>
          <w:rFonts w:ascii="Times New Roman" w:hAnsi="Times New Roman" w:cs="Times New Roman"/>
          <w:bCs/>
          <w:sz w:val="28"/>
          <w:szCs w:val="28"/>
        </w:rPr>
        <w:t xml:space="preserve"> triển khai định hướng chuyển mạnh từ tiền kiểm sang hậu kiểm, gắn với tăng cường kiểm tra, giám sát</w:t>
      </w:r>
      <w:r w:rsidR="00224D72">
        <w:rPr>
          <w:rFonts w:ascii="Times New Roman" w:hAnsi="Times New Roman" w:cs="Times New Roman"/>
          <w:bCs/>
          <w:sz w:val="28"/>
          <w:szCs w:val="28"/>
        </w:rPr>
        <w:t xml:space="preserve">. Triển khai chủ trương này, Thủ tướng Chính phủ đã phê duyệt kế hoạch và </w:t>
      </w:r>
      <w:r w:rsidRPr="00313A8B">
        <w:rPr>
          <w:rFonts w:ascii="Times New Roman" w:hAnsi="Times New Roman" w:cs="Times New Roman"/>
          <w:bCs/>
          <w:sz w:val="28"/>
          <w:szCs w:val="28"/>
        </w:rPr>
        <w:t>phương án cắt giảm, đơn giản hóa điều kiện kinh doanh, thủ tục hành chính của Bộ Tài chính</w:t>
      </w:r>
      <w:r w:rsidR="00224D72">
        <w:rPr>
          <w:rFonts w:ascii="Times New Roman" w:hAnsi="Times New Roman" w:cs="Times New Roman"/>
          <w:bCs/>
          <w:sz w:val="28"/>
          <w:szCs w:val="28"/>
        </w:rPr>
        <w:t>, trong đó có các điều kiện kinh doanh dịch vụ quản lý quỹ hưu trí bổ sung tự nguyện. Do đó, việc xây dựng Nghị định phải cụ thể hóa phương án cắt giảm, đơn giản hóa thủ tục hành chính, điều kiện đầu tư kinh doanh đã được phê duyệt.</w:t>
      </w:r>
    </w:p>
    <w:p w:rsidR="00313A8B" w:rsidRDefault="008E79BC" w:rsidP="00E12BD9">
      <w:pPr>
        <w:widowControl w:val="0"/>
        <w:spacing w:before="100" w:after="10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c)</w:t>
      </w:r>
      <w:r w:rsidR="00313A8B">
        <w:rPr>
          <w:rFonts w:ascii="Times New Roman" w:hAnsi="Times New Roman" w:cs="Times New Roman"/>
          <w:bCs/>
          <w:sz w:val="28"/>
          <w:szCs w:val="28"/>
        </w:rPr>
        <w:t xml:space="preserve"> Về quản lý đầu tư quỹ</w:t>
      </w:r>
    </w:p>
    <w:p w:rsidR="00313A8B" w:rsidRDefault="00313A8B" w:rsidP="00E12BD9">
      <w:pPr>
        <w:widowControl w:val="0"/>
        <w:spacing w:before="100" w:after="100" w:line="340" w:lineRule="exact"/>
        <w:ind w:firstLine="720"/>
        <w:jc w:val="both"/>
        <w:rPr>
          <w:rFonts w:ascii="Times New Roman" w:hAnsi="Times New Roman" w:cs="Times New Roman"/>
          <w:bCs/>
          <w:sz w:val="28"/>
          <w:szCs w:val="28"/>
        </w:rPr>
      </w:pPr>
      <w:r w:rsidRPr="00313A8B">
        <w:rPr>
          <w:rFonts w:ascii="Times New Roman" w:hAnsi="Times New Roman" w:cs="Times New Roman"/>
          <w:bCs/>
          <w:sz w:val="28"/>
          <w:szCs w:val="28"/>
        </w:rPr>
        <w:t>Tại Quyết định của Thủ tướng Chính phủ phê duyệt Chiến lược phát triển thị trường chứng khoán đến năm 2030 đã đặt ra giải pháp mở rộng cơ sở nhà đầu tư, đa dạng hóa các loại hình quỹ đầu tư. Theo đó, để thực hiện các mục tiêu trên, cần thiết tiếp tục phát triển hệ thống quỹ hưu trí để vừa góp phần bổ sung chế độ an sinh cho người tham gia, vừa hỗ trợ thúc đẩy phát triển thị trường vốn. Do đó, để đáp ứng nhu cầu của người lao động và thị trường, yêu cầu về phát triển an sinh xã hội, cần thiết phải rà soát, sửa đổi, hoàn thiện chính sách về bảo hiểm hưu trí bổ sung theo quy định của Luật BHXH năm 2024 để vừa khuyến khích, thúc đẩy sự tham gia của khu vực tư nhân vào an sinh xã hội, vừa nâng cao chất lượng hoạt động, tăng cường quản lý giám sát để các quỹ bảo hiểm hưu trí bổ sung hoạt động an toàn, bền vững, đảm bảo quyền lợi của người tham gia.</w:t>
      </w:r>
    </w:p>
    <w:p w:rsidR="00313A8B" w:rsidRPr="008E79BC" w:rsidRDefault="00313A8B" w:rsidP="00E12BD9">
      <w:pPr>
        <w:widowControl w:val="0"/>
        <w:spacing w:before="100" w:after="100" w:line="340" w:lineRule="exact"/>
        <w:ind w:firstLine="720"/>
        <w:jc w:val="both"/>
        <w:rPr>
          <w:rFonts w:ascii="Times New Roman" w:hAnsi="Times New Roman" w:cs="Times New Roman"/>
          <w:bCs/>
          <w:sz w:val="28"/>
          <w:szCs w:val="28"/>
        </w:rPr>
      </w:pPr>
      <w:r w:rsidRPr="00313A8B">
        <w:rPr>
          <w:rFonts w:ascii="Times New Roman" w:hAnsi="Times New Roman" w:cs="Times New Roman"/>
          <w:bCs/>
          <w:sz w:val="28"/>
          <w:szCs w:val="28"/>
        </w:rPr>
        <w:t>Hiện nay, thực hiện phát triển hệ thống quỹ đầu tư chứng khoán theo Chiến lược phát triển thị trường chứng khoán, quy định về hoạt động đầu tư của các quỹ đầu tư chứng khoán đã được sửa đổi theo hướng mở rộng danh mục tài sản được đầu tư  để nâng cao hiệu quả đầu tư. Việc phát triển hệ thống quỹ (bao gồm cả quỹ hưu trí) là giải pháp quan trọng nhằm tái cơ cấu cơ sở nhà đầu tư, phát triển nhà đầu tư có tổ chức có nguồn vốn dài hạn để đầu tư vào thị trường TPCP, thị trường tài chính. Do đó, định hướng chung đối với hệ thống quỹ đầu tư trên thị trường tài chính là hướng tới hoạt động hiệu quả hơn.</w:t>
      </w:r>
    </w:p>
    <w:p w:rsidR="008E79BC" w:rsidRDefault="00313A8B" w:rsidP="00E12BD9">
      <w:pPr>
        <w:widowControl w:val="0"/>
        <w:spacing w:before="100" w:after="10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d)</w:t>
      </w:r>
      <w:r w:rsidR="008E79BC">
        <w:rPr>
          <w:rFonts w:ascii="Times New Roman" w:hAnsi="Times New Roman" w:cs="Times New Roman"/>
          <w:bCs/>
          <w:sz w:val="28"/>
          <w:szCs w:val="28"/>
        </w:rPr>
        <w:t xml:space="preserve"> Về quản lý giám sát</w:t>
      </w:r>
    </w:p>
    <w:p w:rsidR="008E79BC" w:rsidRPr="008E79BC" w:rsidRDefault="00313A8B" w:rsidP="00E12BD9">
      <w:pPr>
        <w:widowControl w:val="0"/>
        <w:spacing w:before="100" w:after="100" w:line="340" w:lineRule="exact"/>
        <w:ind w:firstLine="720"/>
        <w:jc w:val="both"/>
        <w:rPr>
          <w:rFonts w:ascii="Times New Roman" w:hAnsi="Times New Roman" w:cs="Times New Roman"/>
          <w:bCs/>
          <w:sz w:val="28"/>
          <w:szCs w:val="28"/>
        </w:rPr>
      </w:pPr>
      <w:r>
        <w:rPr>
          <w:rFonts w:ascii="Times New Roman" w:hAnsi="Times New Roman" w:cs="Times New Roman"/>
          <w:bCs/>
          <w:sz w:val="28"/>
          <w:szCs w:val="28"/>
        </w:rPr>
        <w:t>T</w:t>
      </w:r>
      <w:r w:rsidRPr="00313A8B">
        <w:rPr>
          <w:rFonts w:ascii="Times New Roman" w:hAnsi="Times New Roman" w:cs="Times New Roman"/>
          <w:bCs/>
          <w:sz w:val="28"/>
          <w:szCs w:val="28"/>
        </w:rPr>
        <w:t xml:space="preserve">ình hình kinh tế xã hội trong và ngoài nước ngày càng có nhiều diễn biến nhanh, bất thường, có thể tác động mạnh đến thị trường tài chính nên cần định hướng chính sách theo hướng thận trọng, giảm thiểu tối đa rủi ro, nhất là các chính sách mang tính dài hạn và ảnh hưởng đến an sinh xã hội như chính sách </w:t>
      </w:r>
      <w:r>
        <w:rPr>
          <w:rFonts w:ascii="Times New Roman" w:hAnsi="Times New Roman" w:cs="Times New Roman"/>
          <w:bCs/>
          <w:sz w:val="28"/>
          <w:szCs w:val="28"/>
        </w:rPr>
        <w:t xml:space="preserve">bảo hiểm </w:t>
      </w:r>
      <w:r w:rsidRPr="00313A8B">
        <w:rPr>
          <w:rFonts w:ascii="Times New Roman" w:hAnsi="Times New Roman" w:cs="Times New Roman"/>
          <w:bCs/>
          <w:sz w:val="28"/>
          <w:szCs w:val="28"/>
        </w:rPr>
        <w:t xml:space="preserve">hưu trí </w:t>
      </w:r>
      <w:r>
        <w:rPr>
          <w:rFonts w:ascii="Times New Roman" w:hAnsi="Times New Roman" w:cs="Times New Roman"/>
          <w:bCs/>
          <w:sz w:val="28"/>
          <w:szCs w:val="28"/>
        </w:rPr>
        <w:t>bổ sung</w:t>
      </w:r>
      <w:r w:rsidRPr="00313A8B">
        <w:rPr>
          <w:rFonts w:ascii="Times New Roman" w:hAnsi="Times New Roman" w:cs="Times New Roman"/>
          <w:bCs/>
          <w:sz w:val="28"/>
          <w:szCs w:val="28"/>
        </w:rPr>
        <w:t xml:space="preserve">. Trên cơ sở bài học các nước, việc quản lý </w:t>
      </w:r>
      <w:r>
        <w:rPr>
          <w:rFonts w:ascii="Times New Roman" w:hAnsi="Times New Roman" w:cs="Times New Roman"/>
          <w:bCs/>
          <w:sz w:val="28"/>
          <w:szCs w:val="28"/>
        </w:rPr>
        <w:t xml:space="preserve">giám sát đối với hoạt động cung cấp dịch vụ về </w:t>
      </w:r>
      <w:r w:rsidRPr="00313A8B">
        <w:rPr>
          <w:rFonts w:ascii="Times New Roman" w:hAnsi="Times New Roman" w:cs="Times New Roman"/>
          <w:bCs/>
          <w:sz w:val="28"/>
          <w:szCs w:val="28"/>
        </w:rPr>
        <w:t>bảo hiểm hưu trí bổ sung cần được nghiên cứu, hoàn thiện để thận trọng và an toàn hơn</w:t>
      </w:r>
      <w:r>
        <w:rPr>
          <w:rFonts w:ascii="Times New Roman" w:hAnsi="Times New Roman" w:cs="Times New Roman"/>
          <w:bCs/>
          <w:sz w:val="28"/>
          <w:szCs w:val="28"/>
        </w:rPr>
        <w:t>, đảm bảo các quyền lợi của người tham gia.</w:t>
      </w:r>
    </w:p>
    <w:p w:rsidR="00C36A44" w:rsidRPr="00641E07" w:rsidRDefault="00C36A44" w:rsidP="00E12BD9">
      <w:pPr>
        <w:widowControl w:val="0"/>
        <w:spacing w:before="100" w:after="100" w:line="340" w:lineRule="exact"/>
        <w:ind w:firstLine="720"/>
        <w:jc w:val="both"/>
        <w:outlineLvl w:val="0"/>
        <w:rPr>
          <w:rFonts w:ascii="Times New Roman" w:hAnsi="Times New Roman" w:cs="Times New Roman"/>
          <w:sz w:val="28"/>
          <w:szCs w:val="28"/>
          <w:lang w:val="nl-NL"/>
        </w:rPr>
      </w:pPr>
      <w:r w:rsidRPr="00C36A44">
        <w:rPr>
          <w:rFonts w:ascii="Times New Roman" w:hAnsi="Times New Roman"/>
          <w:b/>
          <w:sz w:val="28"/>
          <w:szCs w:val="28"/>
          <w:lang w:val="vi-VN"/>
        </w:rPr>
        <w:t xml:space="preserve">III. </w:t>
      </w:r>
      <w:r w:rsidR="00932837" w:rsidRPr="00932837">
        <w:rPr>
          <w:rFonts w:ascii="Times New Roman" w:hAnsi="Times New Roman"/>
          <w:b/>
          <w:sz w:val="28"/>
          <w:szCs w:val="28"/>
          <w:lang w:val="vi-VN"/>
        </w:rPr>
        <w:t>ĐỀ XUẤT, KIẾN NGHỊ</w:t>
      </w:r>
    </w:p>
    <w:p w:rsidR="00224D72" w:rsidRPr="00224D72" w:rsidRDefault="00224D72" w:rsidP="00E12BD9">
      <w:pPr>
        <w:widowControl w:val="0"/>
        <w:spacing w:before="100" w:after="100" w:line="340" w:lineRule="exact"/>
        <w:ind w:firstLine="720"/>
        <w:jc w:val="both"/>
        <w:rPr>
          <w:rFonts w:ascii="Times New Roman" w:hAnsi="Times New Roman"/>
          <w:sz w:val="28"/>
          <w:szCs w:val="28"/>
          <w:lang w:val="da-DK"/>
        </w:rPr>
      </w:pPr>
      <w:r w:rsidRPr="00224D72">
        <w:rPr>
          <w:rFonts w:ascii="Times New Roman" w:hAnsi="Times New Roman"/>
          <w:sz w:val="28"/>
          <w:szCs w:val="28"/>
        </w:rPr>
        <w:t xml:space="preserve">Trên cơ sở đánh giá tình hình triển khai Nghị định số 88, diễn biến thị trường tài chính trong và ngoài nước, đặc biệt là hoạt động của hệ thống quỹ hưu trí và định hướng phát triển cơ sở nhà đầu tư tổ chức dài hạn trên thị trường vốn, </w:t>
      </w:r>
      <w:r>
        <w:rPr>
          <w:rFonts w:ascii="Times New Roman" w:hAnsi="Times New Roman"/>
          <w:sz w:val="28"/>
          <w:szCs w:val="28"/>
        </w:rPr>
        <w:t xml:space="preserve">cần thiết phải xây dựng Nghị định </w:t>
      </w:r>
      <w:r w:rsidRPr="00224D72">
        <w:rPr>
          <w:rFonts w:ascii="Times New Roman" w:hAnsi="Times New Roman"/>
          <w:sz w:val="28"/>
          <w:szCs w:val="28"/>
        </w:rPr>
        <w:t>về bảo hiểm hưu trí bổ sung</w:t>
      </w:r>
      <w:r>
        <w:rPr>
          <w:rFonts w:ascii="Times New Roman" w:hAnsi="Times New Roman"/>
          <w:sz w:val="28"/>
          <w:szCs w:val="28"/>
        </w:rPr>
        <w:t xml:space="preserve">, thay thế Nghị định số 88 hiện hành nhằm </w:t>
      </w:r>
      <w:r w:rsidRPr="00224D72">
        <w:rPr>
          <w:rFonts w:ascii="Times New Roman" w:hAnsi="Times New Roman"/>
          <w:b/>
          <w:sz w:val="28"/>
          <w:szCs w:val="28"/>
          <w:lang w:val="nl-NL"/>
        </w:rPr>
        <w:t>(i)</w:t>
      </w:r>
      <w:r w:rsidRPr="00224D72">
        <w:rPr>
          <w:rFonts w:ascii="Times New Roman" w:hAnsi="Times New Roman"/>
          <w:sz w:val="28"/>
          <w:szCs w:val="28"/>
          <w:lang w:val="vi-VN"/>
        </w:rPr>
        <w:t xml:space="preserve"> tạo khuôn khổ pháp lý</w:t>
      </w:r>
      <w:r w:rsidRPr="00224D72">
        <w:rPr>
          <w:rFonts w:ascii="Times New Roman" w:hAnsi="Times New Roman"/>
          <w:sz w:val="28"/>
          <w:szCs w:val="28"/>
          <w:lang w:val="nl-NL"/>
        </w:rPr>
        <w:t xml:space="preserve"> triển khai hiệu quả, bền vững chính sách bảo hiểm </w:t>
      </w:r>
      <w:r w:rsidRPr="00224D72">
        <w:rPr>
          <w:rFonts w:ascii="Times New Roman" w:hAnsi="Times New Roman"/>
          <w:sz w:val="28"/>
          <w:szCs w:val="28"/>
          <w:lang w:val="vi-VN"/>
        </w:rPr>
        <w:t>hưu trí</w:t>
      </w:r>
      <w:r w:rsidRPr="00224D72">
        <w:rPr>
          <w:rFonts w:ascii="Times New Roman" w:hAnsi="Times New Roman"/>
          <w:sz w:val="28"/>
          <w:szCs w:val="28"/>
          <w:lang w:val="nl-NL"/>
        </w:rPr>
        <w:t xml:space="preserve"> bổ sung theo quy định tại Luật BHXH năm 2024 tại Việt Nam nhằm đa dạng hóa các chương trình an sinh xã hội, giảm gánh nặng của ngân sách nhà nước cho công tác an sinh xã hội trong dài hạn, bổ sung chính sách chủ động chuẩn bị cho tuổi già theo pháp luật về dân số; </w:t>
      </w:r>
      <w:r w:rsidRPr="00224D72">
        <w:rPr>
          <w:rFonts w:ascii="Times New Roman" w:hAnsi="Times New Roman"/>
          <w:b/>
          <w:sz w:val="28"/>
          <w:szCs w:val="28"/>
          <w:lang w:val="nl-NL"/>
        </w:rPr>
        <w:t>(ii)</w:t>
      </w:r>
      <w:r w:rsidRPr="00224D72">
        <w:rPr>
          <w:rFonts w:ascii="Times New Roman" w:hAnsi="Times New Roman"/>
          <w:sz w:val="28"/>
          <w:szCs w:val="28"/>
          <w:lang w:val="nl-NL"/>
        </w:rPr>
        <w:t xml:space="preserve"> công khai, minh bạch chủ trương chính sách của Nhà nước để thu hút sự tham gia của đông đảo người lao động, người sử dụng lao động đối với sản phẩm bảo hiểm hưu trí bổ sung; </w:t>
      </w:r>
      <w:r w:rsidRPr="00224D72">
        <w:rPr>
          <w:rFonts w:ascii="Times New Roman" w:hAnsi="Times New Roman"/>
          <w:b/>
          <w:sz w:val="28"/>
          <w:szCs w:val="28"/>
          <w:lang w:val="nl-NL"/>
        </w:rPr>
        <w:t>(iii)</w:t>
      </w:r>
      <w:r w:rsidRPr="00224D72">
        <w:rPr>
          <w:rFonts w:ascii="Times New Roman" w:hAnsi="Times New Roman"/>
          <w:sz w:val="28"/>
          <w:szCs w:val="28"/>
          <w:lang w:val="nl-NL"/>
        </w:rPr>
        <w:t xml:space="preserve"> hỗ trợ </w:t>
      </w:r>
      <w:r w:rsidRPr="00224D72">
        <w:rPr>
          <w:rFonts w:ascii="Times New Roman" w:hAnsi="Times New Roman"/>
          <w:sz w:val="28"/>
          <w:szCs w:val="28"/>
          <w:lang w:val="af-ZA"/>
        </w:rPr>
        <w:t xml:space="preserve">phát triển thị trường vốn, thị trường trái phiếu </w:t>
      </w:r>
      <w:r w:rsidRPr="00224D72">
        <w:rPr>
          <w:rFonts w:ascii="Times New Roman" w:hAnsi="Times New Roman"/>
          <w:sz w:val="28"/>
          <w:szCs w:val="28"/>
          <w:lang w:val="da-DK"/>
        </w:rPr>
        <w:t>thông qua việc củng cố cơ sở nhà đầu tư vốn dài hạn.</w:t>
      </w:r>
    </w:p>
    <w:p w:rsidR="00224D72" w:rsidRPr="00224D72" w:rsidRDefault="000F1493" w:rsidP="00E12BD9">
      <w:pPr>
        <w:widowControl w:val="0"/>
        <w:spacing w:before="100" w:after="100" w:line="340" w:lineRule="exact"/>
        <w:ind w:firstLine="720"/>
        <w:jc w:val="both"/>
        <w:rPr>
          <w:rFonts w:ascii="Times New Roman" w:hAnsi="Times New Roman"/>
          <w:sz w:val="28"/>
          <w:szCs w:val="28"/>
          <w:lang w:val="es-ES"/>
        </w:rPr>
      </w:pPr>
      <w:r>
        <w:rPr>
          <w:rFonts w:ascii="Times New Roman" w:hAnsi="Times New Roman"/>
          <w:sz w:val="28"/>
          <w:szCs w:val="28"/>
        </w:rPr>
        <w:t xml:space="preserve">Theo đó, việc xây dựng Nghị định cần tập trung </w:t>
      </w:r>
      <w:r w:rsidRPr="000F1493">
        <w:rPr>
          <w:rFonts w:ascii="Times New Roman" w:hAnsi="Times New Roman"/>
          <w:b/>
          <w:bCs/>
          <w:i/>
          <w:iCs/>
          <w:sz w:val="28"/>
          <w:szCs w:val="28"/>
        </w:rPr>
        <w:t>(i)</w:t>
      </w:r>
      <w:r>
        <w:rPr>
          <w:rFonts w:ascii="Times New Roman" w:hAnsi="Times New Roman"/>
          <w:sz w:val="28"/>
          <w:szCs w:val="28"/>
        </w:rPr>
        <w:t xml:space="preserve"> làm rõ cơ chế triển khai </w:t>
      </w:r>
      <w:r w:rsidR="00224D72" w:rsidRPr="00224D72">
        <w:rPr>
          <w:rFonts w:ascii="Times New Roman" w:hAnsi="Times New Roman"/>
          <w:sz w:val="28"/>
          <w:szCs w:val="28"/>
          <w:lang w:val="nl-NL"/>
        </w:rPr>
        <w:t>bảo hiểm hưu trí bổ sung là sản phẩm tài chính dài hạn được thực hiện thông qua quỹ bảo hiểm hưu trí bổ sung để bổ sung cho chính sách bảo hiểm xã hội cơ bản hiện nay, tạo điều kiện cho người tham gia (người lao động và doanh nghiệp sử dụng lao động) có thêm thu nhập sau khi nghỉ hưu trên nguyên tắc hoàn toàn tự nguyện</w:t>
      </w:r>
      <w:r>
        <w:rPr>
          <w:rFonts w:ascii="Times New Roman" w:hAnsi="Times New Roman"/>
          <w:sz w:val="28"/>
          <w:szCs w:val="28"/>
          <w:lang w:val="nl-NL"/>
        </w:rPr>
        <w:t xml:space="preserve">; </w:t>
      </w:r>
      <w:r w:rsidRPr="000F1493">
        <w:rPr>
          <w:rFonts w:ascii="Times New Roman" w:hAnsi="Times New Roman"/>
          <w:b/>
          <w:bCs/>
          <w:i/>
          <w:iCs/>
          <w:sz w:val="28"/>
          <w:szCs w:val="28"/>
          <w:lang w:val="nl-NL"/>
        </w:rPr>
        <w:t>(ii)</w:t>
      </w:r>
      <w:r>
        <w:rPr>
          <w:rFonts w:ascii="Times New Roman" w:hAnsi="Times New Roman"/>
          <w:sz w:val="28"/>
          <w:szCs w:val="28"/>
          <w:lang w:val="nl-NL"/>
        </w:rPr>
        <w:t xml:space="preserve"> </w:t>
      </w:r>
      <w:r w:rsidR="00224D72" w:rsidRPr="00224D72">
        <w:rPr>
          <w:rFonts w:ascii="Times New Roman" w:hAnsi="Times New Roman"/>
          <w:sz w:val="28"/>
          <w:szCs w:val="28"/>
          <w:lang w:val="nl-NL"/>
        </w:rPr>
        <w:t>vận hành, quản lý quỹ bảo hiểm hưu trí bổ sung an toàn, bền vững; hoàn thiện các chính sách về tổ chức thực hiện bảo hiểm hưu trí bổ sung theo hướng chuyên nghiệp, công khai, minh bạch</w:t>
      </w:r>
      <w:r>
        <w:rPr>
          <w:rFonts w:ascii="Times New Roman" w:hAnsi="Times New Roman"/>
          <w:sz w:val="28"/>
          <w:szCs w:val="28"/>
          <w:lang w:val="nl-NL"/>
        </w:rPr>
        <w:t xml:space="preserve">; </w:t>
      </w:r>
      <w:r w:rsidRPr="000F1493">
        <w:rPr>
          <w:rFonts w:ascii="Times New Roman" w:hAnsi="Times New Roman"/>
          <w:b/>
          <w:bCs/>
          <w:i/>
          <w:iCs/>
          <w:sz w:val="28"/>
          <w:szCs w:val="28"/>
          <w:lang w:val="nl-NL"/>
        </w:rPr>
        <w:t>(ii</w:t>
      </w:r>
      <w:r>
        <w:rPr>
          <w:rFonts w:ascii="Times New Roman" w:hAnsi="Times New Roman"/>
          <w:b/>
          <w:bCs/>
          <w:i/>
          <w:iCs/>
          <w:sz w:val="28"/>
          <w:szCs w:val="28"/>
          <w:lang w:val="nl-NL"/>
        </w:rPr>
        <w:t>i</w:t>
      </w:r>
      <w:r w:rsidRPr="000F1493">
        <w:rPr>
          <w:rFonts w:ascii="Times New Roman" w:hAnsi="Times New Roman"/>
          <w:b/>
          <w:bCs/>
          <w:i/>
          <w:iCs/>
          <w:sz w:val="28"/>
          <w:szCs w:val="28"/>
          <w:lang w:val="nl-NL"/>
        </w:rPr>
        <w:t>)</w:t>
      </w:r>
      <w:r>
        <w:rPr>
          <w:rFonts w:ascii="Times New Roman" w:hAnsi="Times New Roman"/>
          <w:sz w:val="28"/>
          <w:szCs w:val="28"/>
          <w:lang w:val="nl-NL"/>
        </w:rPr>
        <w:t xml:space="preserve"> tiếp tục </w:t>
      </w:r>
      <w:r w:rsidR="00224D72" w:rsidRPr="00224D72">
        <w:rPr>
          <w:rFonts w:ascii="Times New Roman" w:hAnsi="Times New Roman"/>
          <w:sz w:val="28"/>
          <w:szCs w:val="28"/>
          <w:lang w:val="nl-NL"/>
        </w:rPr>
        <w:t>khuyến khích sự tham gia của khu vực kinh tế tư nhân, tháo gỡ những vướng mắc, khơi thông và phát huy nguồn lực cho phát triển kinh tế - xã hội; cắt giảm và đơn giản hóa điều kiện đầu tư kinh doanh, thủ tục hành chính theo chủ trương của Đảng, Chính phủ</w:t>
      </w:r>
      <w:r>
        <w:rPr>
          <w:rFonts w:ascii="Times New Roman" w:hAnsi="Times New Roman"/>
          <w:sz w:val="28"/>
          <w:szCs w:val="28"/>
          <w:lang w:val="nl-NL"/>
        </w:rPr>
        <w:t xml:space="preserve">; </w:t>
      </w:r>
      <w:r w:rsidRPr="000F1493">
        <w:rPr>
          <w:rFonts w:ascii="Times New Roman" w:hAnsi="Times New Roman"/>
          <w:b/>
          <w:bCs/>
          <w:i/>
          <w:iCs/>
          <w:sz w:val="28"/>
          <w:szCs w:val="28"/>
          <w:lang w:val="nl-NL"/>
        </w:rPr>
        <w:t>(iv)</w:t>
      </w:r>
      <w:r>
        <w:rPr>
          <w:rFonts w:ascii="Times New Roman" w:hAnsi="Times New Roman"/>
          <w:sz w:val="28"/>
          <w:szCs w:val="28"/>
          <w:lang w:val="nl-NL"/>
        </w:rPr>
        <w:t xml:space="preserve"> </w:t>
      </w:r>
      <w:r w:rsidR="00224D72" w:rsidRPr="00224D72">
        <w:rPr>
          <w:rFonts w:ascii="Times New Roman" w:hAnsi="Times New Roman"/>
          <w:sz w:val="28"/>
          <w:szCs w:val="28"/>
          <w:lang w:val="nl-NL"/>
        </w:rPr>
        <w:t>tiếp tục duy trì các quy định còn phù hợp tại Nghị định số 88</w:t>
      </w:r>
      <w:r w:rsidR="00224D72" w:rsidRPr="00224D72">
        <w:rPr>
          <w:rFonts w:ascii="Times New Roman" w:hAnsi="Times New Roman"/>
          <w:bCs/>
          <w:sz w:val="28"/>
          <w:szCs w:val="28"/>
          <w:lang w:val="nl-NL"/>
        </w:rPr>
        <w:t>, sửa đổi các quy định chưa phù hợp để</w:t>
      </w:r>
      <w:r w:rsidR="00224D72" w:rsidRPr="00224D72">
        <w:rPr>
          <w:rFonts w:ascii="Times New Roman" w:hAnsi="Times New Roman"/>
          <w:sz w:val="28"/>
          <w:szCs w:val="28"/>
          <w:lang w:val="nl-NL"/>
        </w:rPr>
        <w:t xml:space="preserve"> </w:t>
      </w:r>
      <w:r w:rsidR="00224D72" w:rsidRPr="00224D72">
        <w:rPr>
          <w:rFonts w:ascii="Times New Roman" w:hAnsi="Times New Roman"/>
          <w:sz w:val="28"/>
          <w:szCs w:val="28"/>
        </w:rPr>
        <w:t>khắc phục một số hạn chế trong thực tế triển khai thời gian qua</w:t>
      </w:r>
      <w:r>
        <w:rPr>
          <w:rFonts w:ascii="Times New Roman" w:hAnsi="Times New Roman"/>
          <w:sz w:val="28"/>
          <w:szCs w:val="28"/>
        </w:rPr>
        <w:t xml:space="preserve">; và </w:t>
      </w:r>
      <w:r w:rsidRPr="000F1493">
        <w:rPr>
          <w:rFonts w:ascii="Times New Roman" w:hAnsi="Times New Roman"/>
          <w:b/>
          <w:bCs/>
          <w:i/>
          <w:iCs/>
          <w:sz w:val="28"/>
          <w:szCs w:val="28"/>
        </w:rPr>
        <w:t>(v)</w:t>
      </w:r>
      <w:r>
        <w:rPr>
          <w:rFonts w:ascii="Times New Roman" w:hAnsi="Times New Roman"/>
          <w:sz w:val="28"/>
          <w:szCs w:val="28"/>
        </w:rPr>
        <w:t xml:space="preserve"> hoàn thiện chính sách về quản lý đầu tư, giám sát rủi ro theo thông lệ quốc tế.</w:t>
      </w:r>
    </w:p>
    <w:p w:rsidR="000F1493" w:rsidRDefault="000F1493" w:rsidP="00E12BD9">
      <w:pPr>
        <w:widowControl w:val="0"/>
        <w:spacing w:before="100" w:after="100" w:line="340" w:lineRule="exact"/>
        <w:ind w:firstLine="720"/>
        <w:jc w:val="both"/>
        <w:rPr>
          <w:rFonts w:ascii="Times New Roman" w:hAnsi="Times New Roman"/>
          <w:sz w:val="28"/>
          <w:szCs w:val="28"/>
        </w:rPr>
      </w:pPr>
      <w:r>
        <w:rPr>
          <w:rFonts w:ascii="Times New Roman" w:hAnsi="Times New Roman"/>
          <w:sz w:val="28"/>
          <w:szCs w:val="28"/>
        </w:rPr>
        <w:t xml:space="preserve">Trên đây là báo cáo </w:t>
      </w:r>
      <w:r>
        <w:rPr>
          <w:rFonts w:ascii="Times New Roman" w:hAnsi="Times New Roman" w:cs="Times New Roman"/>
          <w:iCs/>
          <w:sz w:val="28"/>
          <w:szCs w:val="28"/>
        </w:rPr>
        <w:t xml:space="preserve">tổng kết việc thi hành Nghị định </w:t>
      </w:r>
      <w:r w:rsidRPr="006E52E4">
        <w:rPr>
          <w:rFonts w:ascii="Times New Roman" w:hAnsi="Times New Roman" w:cs="Times New Roman"/>
          <w:iCs/>
          <w:sz w:val="28"/>
          <w:szCs w:val="28"/>
        </w:rPr>
        <w:t>số 88/2016/NĐ-CP ngày 01/7/2016 về chương trình hưu trí bổ sung tự nguyện</w:t>
      </w:r>
      <w:r>
        <w:rPr>
          <w:rFonts w:ascii="Times New Roman" w:hAnsi="Times New Roman" w:cs="Times New Roman"/>
          <w:iCs/>
          <w:sz w:val="28"/>
          <w:szCs w:val="28"/>
        </w:rPr>
        <w:t xml:space="preserve"> của Bộ Tài chính.</w:t>
      </w:r>
    </w:p>
    <w:p w:rsidR="00AD3524" w:rsidRDefault="00AD3524" w:rsidP="00E12BD9">
      <w:pPr>
        <w:widowControl w:val="0"/>
        <w:spacing w:before="100" w:after="100" w:line="340" w:lineRule="exact"/>
        <w:ind w:firstLine="720"/>
        <w:jc w:val="both"/>
        <w:rPr>
          <w:rFonts w:ascii="Times New Roman" w:hAnsi="Times New Roman"/>
          <w:sz w:val="28"/>
          <w:szCs w:val="28"/>
        </w:rPr>
      </w:pPr>
      <w:r>
        <w:rPr>
          <w:rFonts w:ascii="Times New Roman" w:hAnsi="Times New Roman"/>
          <w:sz w:val="28"/>
          <w:szCs w:val="28"/>
        </w:rPr>
        <w:t>Bộ Tài chính kính báo cáo Chính phủ./.</w:t>
      </w:r>
    </w:p>
    <w:p w:rsidR="00932837" w:rsidRPr="00932837" w:rsidRDefault="00932837" w:rsidP="00932837">
      <w:pPr>
        <w:widowControl w:val="0"/>
        <w:spacing w:before="120" w:after="120" w:line="340" w:lineRule="exact"/>
        <w:ind w:firstLine="691"/>
        <w:jc w:val="both"/>
        <w:outlineLvl w:val="0"/>
        <w:rPr>
          <w:rFonts w:ascii="Times New Roman" w:eastAsia="Times New Roman" w:hAnsi="Times New Roman" w:cs="Times New Roman"/>
          <w:sz w:val="28"/>
          <w:szCs w:val="28"/>
          <w:lang w:val="pt-BR"/>
        </w:rPr>
      </w:pPr>
    </w:p>
    <w:tbl>
      <w:tblPr>
        <w:tblW w:w="8930" w:type="dxa"/>
        <w:tblInd w:w="250" w:type="dxa"/>
        <w:tblLayout w:type="fixed"/>
        <w:tblLook w:val="0000"/>
      </w:tblPr>
      <w:tblGrid>
        <w:gridCol w:w="5878"/>
        <w:gridCol w:w="3052"/>
      </w:tblGrid>
      <w:tr w:rsidR="00932837" w:rsidRPr="00932837" w:rsidTr="008F75E8">
        <w:tc>
          <w:tcPr>
            <w:tcW w:w="5878" w:type="dxa"/>
          </w:tcPr>
          <w:p w:rsidR="00932837" w:rsidRPr="00932837" w:rsidRDefault="00932837" w:rsidP="00932837">
            <w:pPr>
              <w:widowControl w:val="0"/>
              <w:spacing w:after="0" w:line="240" w:lineRule="auto"/>
              <w:rPr>
                <w:rFonts w:ascii="Times New Roman" w:eastAsia="Times New Roman" w:hAnsi="Times New Roman" w:cs="Times New Roman"/>
                <w:b/>
                <w:i/>
                <w:lang w:val="af-ZA"/>
              </w:rPr>
            </w:pPr>
            <w:r w:rsidRPr="00932837">
              <w:rPr>
                <w:rFonts w:ascii="Times New Roman" w:eastAsia="Times New Roman" w:hAnsi="Times New Roman" w:cs="Times New Roman"/>
                <w:b/>
                <w:i/>
                <w:sz w:val="24"/>
                <w:lang w:val="af-ZA"/>
              </w:rPr>
              <w:t>Nơi nhận:</w:t>
            </w:r>
          </w:p>
          <w:p w:rsidR="00932837" w:rsidRPr="00932837" w:rsidRDefault="00932837" w:rsidP="00932837">
            <w:pPr>
              <w:widowControl w:val="0"/>
              <w:spacing w:after="0" w:line="240" w:lineRule="auto"/>
              <w:rPr>
                <w:rFonts w:ascii="Times New Roman" w:eastAsia="Times New Roman" w:hAnsi="Times New Roman" w:cs="Times New Roman"/>
                <w:lang w:val="af-ZA"/>
              </w:rPr>
            </w:pPr>
            <w:r w:rsidRPr="00932837">
              <w:rPr>
                <w:rFonts w:ascii="Times New Roman" w:eastAsia="Times New Roman" w:hAnsi="Times New Roman" w:cs="Times New Roman"/>
                <w:lang w:val="af-ZA"/>
              </w:rPr>
              <w:t>- Bộ Tư pháp (để thẩm định);</w:t>
            </w:r>
          </w:p>
          <w:p w:rsidR="00932837" w:rsidRPr="00932837" w:rsidRDefault="00932837" w:rsidP="00932837">
            <w:pPr>
              <w:widowControl w:val="0"/>
              <w:spacing w:after="0" w:line="240" w:lineRule="auto"/>
              <w:rPr>
                <w:rFonts w:ascii="Times New Roman" w:eastAsia="Times New Roman" w:hAnsi="Times New Roman" w:cs="Times New Roman"/>
                <w:b/>
                <w:i/>
                <w:lang w:val="af-ZA"/>
              </w:rPr>
            </w:pPr>
            <w:r w:rsidRPr="00932837">
              <w:rPr>
                <w:rFonts w:ascii="Times New Roman" w:eastAsia="Times New Roman" w:hAnsi="Times New Roman" w:cs="Times New Roman"/>
                <w:lang w:val="af-ZA"/>
              </w:rPr>
              <w:t xml:space="preserve">- Lưu: VT, Vụ ĐCTC </w:t>
            </w:r>
            <w:r w:rsidRPr="00932837">
              <w:rPr>
                <w:rFonts w:ascii="Times New Roman" w:eastAsia="Times New Roman" w:hAnsi="Times New Roman" w:cs="Times New Roman"/>
                <w:sz w:val="24"/>
                <w:szCs w:val="24"/>
                <w:vertAlign w:val="subscript"/>
                <w:lang w:val="af-ZA"/>
              </w:rPr>
              <w:t>(   b).</w:t>
            </w:r>
          </w:p>
        </w:tc>
        <w:tc>
          <w:tcPr>
            <w:tcW w:w="3052" w:type="dxa"/>
          </w:tcPr>
          <w:p w:rsidR="00932837" w:rsidRPr="00932837" w:rsidRDefault="00932837" w:rsidP="00932837">
            <w:pPr>
              <w:widowControl w:val="0"/>
              <w:spacing w:after="0" w:line="240" w:lineRule="auto"/>
              <w:jc w:val="center"/>
              <w:rPr>
                <w:rFonts w:ascii="Times New Roman" w:eastAsia="Times New Roman" w:hAnsi="Times New Roman" w:cs="Times New Roman"/>
                <w:b/>
                <w:sz w:val="26"/>
                <w:szCs w:val="28"/>
                <w:lang w:val="af-ZA"/>
              </w:rPr>
            </w:pPr>
            <w:r w:rsidRPr="00932837">
              <w:rPr>
                <w:rFonts w:ascii="Times New Roman" w:eastAsia="Times New Roman" w:hAnsi="Times New Roman" w:cs="Times New Roman"/>
                <w:b/>
                <w:sz w:val="26"/>
                <w:szCs w:val="28"/>
                <w:lang w:val="af-ZA"/>
              </w:rPr>
              <w:t>KT. BỘ TRƯỞNG</w:t>
            </w:r>
          </w:p>
          <w:p w:rsidR="00932837" w:rsidRPr="00932837" w:rsidRDefault="00932837" w:rsidP="00932837">
            <w:pPr>
              <w:widowControl w:val="0"/>
              <w:spacing w:after="0" w:line="240" w:lineRule="auto"/>
              <w:jc w:val="center"/>
              <w:rPr>
                <w:rFonts w:ascii="Times New Roman" w:eastAsia="Times New Roman" w:hAnsi="Times New Roman" w:cs="Times New Roman"/>
                <w:b/>
                <w:sz w:val="26"/>
                <w:szCs w:val="28"/>
                <w:lang w:val="af-ZA"/>
              </w:rPr>
            </w:pPr>
            <w:r w:rsidRPr="00932837">
              <w:rPr>
                <w:rFonts w:ascii="Times New Roman" w:eastAsia="Times New Roman" w:hAnsi="Times New Roman" w:cs="Times New Roman"/>
                <w:b/>
                <w:sz w:val="26"/>
                <w:szCs w:val="28"/>
                <w:lang w:val="af-ZA"/>
              </w:rPr>
              <w:t>THỨ TRƯỞNG</w:t>
            </w:r>
          </w:p>
          <w:p w:rsidR="00932837" w:rsidRPr="00932837" w:rsidRDefault="00932837" w:rsidP="00932837">
            <w:pPr>
              <w:widowControl w:val="0"/>
              <w:spacing w:before="120" w:after="120" w:line="240" w:lineRule="auto"/>
              <w:jc w:val="center"/>
              <w:rPr>
                <w:rFonts w:ascii="Times New Roman" w:eastAsia="Times New Roman" w:hAnsi="Times New Roman" w:cs="Times New Roman"/>
                <w:b/>
                <w:sz w:val="28"/>
                <w:szCs w:val="28"/>
                <w:lang w:val="af-ZA"/>
              </w:rPr>
            </w:pPr>
          </w:p>
          <w:p w:rsidR="00932837" w:rsidRPr="00932837" w:rsidRDefault="00932837" w:rsidP="00932837">
            <w:pPr>
              <w:widowControl w:val="0"/>
              <w:spacing w:before="120" w:after="120" w:line="240" w:lineRule="auto"/>
              <w:jc w:val="center"/>
              <w:rPr>
                <w:rFonts w:ascii="Times New Roman" w:eastAsia="Times New Roman" w:hAnsi="Times New Roman" w:cs="Times New Roman"/>
                <w:b/>
                <w:sz w:val="28"/>
                <w:szCs w:val="28"/>
                <w:lang w:val="af-ZA"/>
              </w:rPr>
            </w:pPr>
          </w:p>
          <w:p w:rsidR="00932837" w:rsidRPr="00932837" w:rsidRDefault="00932837" w:rsidP="00932837">
            <w:pPr>
              <w:widowControl w:val="0"/>
              <w:spacing w:before="120" w:after="120" w:line="240" w:lineRule="auto"/>
              <w:jc w:val="center"/>
              <w:rPr>
                <w:rFonts w:ascii="Times New Roman" w:eastAsia="Times New Roman" w:hAnsi="Times New Roman" w:cs="Times New Roman"/>
                <w:b/>
                <w:sz w:val="28"/>
                <w:szCs w:val="28"/>
                <w:lang w:val="af-ZA"/>
              </w:rPr>
            </w:pPr>
          </w:p>
          <w:p w:rsidR="00932837" w:rsidRPr="00932837" w:rsidRDefault="00932837" w:rsidP="00932837">
            <w:pPr>
              <w:widowControl w:val="0"/>
              <w:spacing w:before="120" w:after="120" w:line="240" w:lineRule="auto"/>
              <w:jc w:val="center"/>
              <w:rPr>
                <w:rFonts w:ascii="Times New Roman" w:eastAsia="Times New Roman" w:hAnsi="Times New Roman" w:cs="Times New Roman"/>
                <w:b/>
                <w:sz w:val="28"/>
                <w:szCs w:val="28"/>
                <w:lang w:val="af-ZA"/>
              </w:rPr>
            </w:pPr>
          </w:p>
          <w:p w:rsidR="00932837" w:rsidRPr="00932837" w:rsidRDefault="00932837" w:rsidP="00932837">
            <w:pPr>
              <w:widowControl w:val="0"/>
              <w:spacing w:before="120" w:after="120" w:line="240" w:lineRule="auto"/>
              <w:jc w:val="center"/>
              <w:rPr>
                <w:rFonts w:ascii="Times New Roman" w:eastAsia="Times New Roman" w:hAnsi="Times New Roman" w:cs="Times New Roman"/>
                <w:b/>
                <w:sz w:val="28"/>
                <w:szCs w:val="28"/>
                <w:lang w:val="af-ZA"/>
              </w:rPr>
            </w:pPr>
            <w:r w:rsidRPr="00932837">
              <w:rPr>
                <w:rFonts w:ascii="Times New Roman" w:eastAsia="Times New Roman" w:hAnsi="Times New Roman" w:cs="Times New Roman"/>
                <w:b/>
                <w:sz w:val="28"/>
                <w:szCs w:val="28"/>
                <w:lang w:val="af-ZA"/>
              </w:rPr>
              <w:t>Nguyễn Đức Chi</w:t>
            </w:r>
          </w:p>
        </w:tc>
      </w:tr>
    </w:tbl>
    <w:p w:rsidR="0088163C" w:rsidRDefault="0088163C" w:rsidP="00B44835">
      <w:pPr>
        <w:widowControl w:val="0"/>
        <w:spacing w:before="120" w:after="120" w:line="360" w:lineRule="exact"/>
        <w:ind w:firstLine="709"/>
        <w:jc w:val="both"/>
        <w:rPr>
          <w:rFonts w:ascii="Times New Roman" w:hAnsi="Times New Roman"/>
          <w:sz w:val="28"/>
          <w:szCs w:val="28"/>
        </w:rPr>
      </w:pPr>
    </w:p>
    <w:p w:rsidR="00607BFE" w:rsidRDefault="00607BFE">
      <w:pPr>
        <w:rPr>
          <w:lang w:val="vi-VN"/>
        </w:rPr>
      </w:pPr>
    </w:p>
    <w:p w:rsidR="00932837" w:rsidRDefault="00932837">
      <w:r>
        <w:br w:type="page"/>
      </w:r>
    </w:p>
    <w:p w:rsidR="00932837" w:rsidRDefault="00932837" w:rsidP="00932837">
      <w:pPr>
        <w:autoSpaceDE w:val="0"/>
        <w:autoSpaceDN w:val="0"/>
        <w:adjustRightInd w:val="0"/>
        <w:spacing w:before="120"/>
        <w:jc w:val="center"/>
        <w:rPr>
          <w:rFonts w:ascii="Times New Roman" w:hAnsi="Times New Roman" w:cs="Times New Roman"/>
          <w:b/>
          <w:bCs/>
        </w:rPr>
        <w:sectPr w:rsidR="00932837" w:rsidSect="005D2B9E">
          <w:headerReference w:type="default" r:id="rId8"/>
          <w:pgSz w:w="11907" w:h="16840" w:code="9"/>
          <w:pgMar w:top="1134" w:right="1134" w:bottom="1134" w:left="1701" w:header="0" w:footer="562" w:gutter="0"/>
          <w:cols w:space="720"/>
          <w:titlePg/>
          <w:docGrid w:linePitch="360"/>
        </w:sectPr>
      </w:pPr>
    </w:p>
    <w:p w:rsidR="00932837" w:rsidRDefault="00932837" w:rsidP="00C47D9E">
      <w:pPr>
        <w:autoSpaceDE w:val="0"/>
        <w:autoSpaceDN w:val="0"/>
        <w:adjustRightInd w:val="0"/>
        <w:spacing w:before="120" w:after="120"/>
        <w:jc w:val="center"/>
        <w:rPr>
          <w:rFonts w:ascii="Times New Roman" w:eastAsia="Calibri" w:hAnsi="Times New Roman" w:cs="Times New Roman"/>
          <w:b/>
          <w:bCs/>
          <w:sz w:val="28"/>
        </w:rPr>
      </w:pPr>
      <w:r w:rsidRPr="00932837">
        <w:rPr>
          <w:rFonts w:ascii="Times New Roman" w:eastAsia="Calibri" w:hAnsi="Times New Roman" w:cs="Times New Roman"/>
          <w:b/>
          <w:bCs/>
          <w:sz w:val="28"/>
        </w:rPr>
        <w:t>Phụ lục</w:t>
      </w:r>
    </w:p>
    <w:p w:rsidR="00C47D9E" w:rsidRDefault="00C47D9E" w:rsidP="00C47D9E">
      <w:pPr>
        <w:spacing w:after="0" w:line="240" w:lineRule="auto"/>
        <w:jc w:val="center"/>
        <w:rPr>
          <w:rFonts w:ascii="Times New Roman" w:hAnsi="Times New Roman" w:cs="Times New Roman"/>
          <w:i/>
          <w:iCs/>
          <w:sz w:val="28"/>
          <w:szCs w:val="28"/>
          <w:lang w:val="vi-VN"/>
        </w:rPr>
      </w:pPr>
      <w:r w:rsidRPr="004F7607">
        <w:rPr>
          <w:rFonts w:ascii="Times New Roman" w:hAnsi="Times New Roman" w:cs="Times New Roman"/>
          <w:i/>
          <w:iCs/>
          <w:sz w:val="28"/>
          <w:szCs w:val="28"/>
          <w:lang w:val="vi-VN"/>
        </w:rPr>
        <w:t xml:space="preserve">(Kèm theo </w:t>
      </w:r>
      <w:r>
        <w:rPr>
          <w:rFonts w:ascii="Times New Roman" w:hAnsi="Times New Roman" w:cs="Times New Roman"/>
          <w:i/>
          <w:iCs/>
          <w:sz w:val="28"/>
          <w:szCs w:val="28"/>
        </w:rPr>
        <w:t xml:space="preserve">báo cáo </w:t>
      </w:r>
      <w:r w:rsidRPr="004F7607">
        <w:rPr>
          <w:rFonts w:ascii="Times New Roman" w:hAnsi="Times New Roman" w:cs="Times New Roman"/>
          <w:i/>
          <w:iCs/>
          <w:sz w:val="28"/>
          <w:szCs w:val="28"/>
          <w:lang w:val="vi-VN"/>
        </w:rPr>
        <w:t xml:space="preserve">số </w:t>
      </w:r>
      <w:r>
        <w:rPr>
          <w:rFonts w:ascii="Times New Roman" w:hAnsi="Times New Roman" w:cs="Times New Roman"/>
          <w:i/>
          <w:iCs/>
          <w:sz w:val="28"/>
          <w:szCs w:val="28"/>
        </w:rPr>
        <w:t>776</w:t>
      </w:r>
      <w:r w:rsidRPr="004F7607">
        <w:rPr>
          <w:rFonts w:ascii="Times New Roman" w:hAnsi="Times New Roman" w:cs="Times New Roman"/>
          <w:i/>
          <w:iCs/>
          <w:sz w:val="28"/>
          <w:szCs w:val="28"/>
          <w:lang w:val="vi-VN"/>
        </w:rPr>
        <w:t>/</w:t>
      </w:r>
      <w:r>
        <w:rPr>
          <w:rFonts w:ascii="Times New Roman" w:hAnsi="Times New Roman" w:cs="Times New Roman"/>
          <w:i/>
          <w:iCs/>
          <w:sz w:val="28"/>
          <w:szCs w:val="28"/>
        </w:rPr>
        <w:t>BC</w:t>
      </w:r>
      <w:r>
        <w:rPr>
          <w:rFonts w:ascii="Times New Roman" w:hAnsi="Times New Roman" w:cs="Times New Roman"/>
          <w:i/>
          <w:iCs/>
          <w:sz w:val="28"/>
          <w:szCs w:val="28"/>
          <w:lang w:val="vi-VN"/>
        </w:rPr>
        <w:t xml:space="preserve">-BTC </w:t>
      </w:r>
      <w:r w:rsidRPr="004F7607">
        <w:rPr>
          <w:rFonts w:ascii="Times New Roman" w:hAnsi="Times New Roman" w:cs="Times New Roman"/>
          <w:i/>
          <w:iCs/>
          <w:sz w:val="28"/>
          <w:szCs w:val="28"/>
          <w:lang w:val="vi-VN"/>
        </w:rPr>
        <w:t xml:space="preserve">ngày </w:t>
      </w:r>
      <w:r>
        <w:rPr>
          <w:rFonts w:ascii="Times New Roman" w:hAnsi="Times New Roman" w:cs="Times New Roman"/>
          <w:i/>
          <w:iCs/>
          <w:sz w:val="28"/>
          <w:szCs w:val="28"/>
        </w:rPr>
        <w:t>15</w:t>
      </w:r>
      <w:r>
        <w:rPr>
          <w:rFonts w:ascii="Times New Roman" w:hAnsi="Times New Roman" w:cs="Times New Roman"/>
          <w:i/>
          <w:iCs/>
          <w:sz w:val="28"/>
          <w:szCs w:val="28"/>
          <w:lang w:val="vi-VN"/>
        </w:rPr>
        <w:t>/</w:t>
      </w:r>
      <w:r>
        <w:rPr>
          <w:rFonts w:ascii="Times New Roman" w:hAnsi="Times New Roman" w:cs="Times New Roman"/>
          <w:i/>
          <w:iCs/>
          <w:sz w:val="28"/>
          <w:szCs w:val="28"/>
        </w:rPr>
        <w:t>12</w:t>
      </w:r>
      <w:r>
        <w:rPr>
          <w:rFonts w:ascii="Times New Roman" w:hAnsi="Times New Roman" w:cs="Times New Roman"/>
          <w:i/>
          <w:iCs/>
          <w:sz w:val="28"/>
          <w:szCs w:val="28"/>
          <w:lang w:val="vi-VN"/>
        </w:rPr>
        <w:t>/202</w:t>
      </w:r>
      <w:r>
        <w:rPr>
          <w:rFonts w:ascii="Times New Roman" w:hAnsi="Times New Roman" w:cs="Times New Roman"/>
          <w:i/>
          <w:iCs/>
          <w:sz w:val="28"/>
          <w:szCs w:val="28"/>
        </w:rPr>
        <w:t>5</w:t>
      </w:r>
      <w:r w:rsidRPr="004F7607">
        <w:rPr>
          <w:rFonts w:ascii="Times New Roman" w:hAnsi="Times New Roman" w:cs="Times New Roman"/>
          <w:i/>
          <w:iCs/>
          <w:sz w:val="28"/>
          <w:szCs w:val="28"/>
          <w:lang w:val="vi-VN"/>
        </w:rPr>
        <w:t xml:space="preserve"> của </w:t>
      </w:r>
      <w:r>
        <w:rPr>
          <w:rFonts w:ascii="Times New Roman" w:hAnsi="Times New Roman" w:cs="Times New Roman"/>
          <w:i/>
          <w:iCs/>
          <w:sz w:val="28"/>
          <w:szCs w:val="28"/>
          <w:lang w:val="vi-VN"/>
        </w:rPr>
        <w:t>Bộ Tài chính</w:t>
      </w:r>
      <w:r w:rsidRPr="004F7607">
        <w:rPr>
          <w:rFonts w:ascii="Times New Roman" w:hAnsi="Times New Roman" w:cs="Times New Roman"/>
          <w:i/>
          <w:iCs/>
          <w:sz w:val="28"/>
          <w:szCs w:val="28"/>
          <w:lang w:val="vi-VN"/>
        </w:rPr>
        <w:t>)</w:t>
      </w:r>
    </w:p>
    <w:p w:rsidR="00932837" w:rsidRPr="00932837" w:rsidRDefault="00C47D9E" w:rsidP="00C47D9E">
      <w:pPr>
        <w:autoSpaceDE w:val="0"/>
        <w:autoSpaceDN w:val="0"/>
        <w:adjustRightInd w:val="0"/>
        <w:spacing w:before="240" w:after="120" w:line="240" w:lineRule="auto"/>
        <w:rPr>
          <w:rFonts w:ascii="Times New Roman" w:eastAsia="Calibri" w:hAnsi="Times New Roman" w:cs="Times New Roman"/>
          <w:sz w:val="28"/>
        </w:rPr>
      </w:pPr>
      <w:r>
        <w:rPr>
          <w:rFonts w:ascii="Times New Roman" w:eastAsia="Calibri" w:hAnsi="Times New Roman" w:cs="Times New Roman"/>
          <w:noProof/>
          <w:sz w:val="28"/>
        </w:rPr>
        <w:pict>
          <v:shape id="_x0000_s1027" type="#_x0000_t32" style="position:absolute;margin-left:303.1pt;margin-top:5.7pt;width:147pt;height:0;z-index:251663360" o:connectortype="straight"/>
        </w:pict>
      </w:r>
      <w:r w:rsidR="00932837" w:rsidRPr="00932837">
        <w:rPr>
          <w:rFonts w:ascii="Times New Roman" w:eastAsia="Calibri" w:hAnsi="Times New Roman" w:cs="Times New Roman"/>
          <w:b/>
          <w:bCs/>
          <w:sz w:val="28"/>
        </w:rPr>
        <w:t>1. Chủ trương, đường lối của Đảng có liên quan đến chính sách/dự thảo</w:t>
      </w:r>
    </w:p>
    <w:tbl>
      <w:tblPr>
        <w:tblW w:w="5000" w:type="pct"/>
        <w:tblCellMar>
          <w:left w:w="85" w:type="dxa"/>
          <w:right w:w="113" w:type="dxa"/>
        </w:tblCellMar>
        <w:tblLook w:val="0000"/>
      </w:tblPr>
      <w:tblGrid>
        <w:gridCol w:w="3597"/>
        <w:gridCol w:w="4161"/>
        <w:gridCol w:w="3488"/>
        <w:gridCol w:w="3516"/>
      </w:tblGrid>
      <w:tr w:rsidR="00932837" w:rsidRPr="00932837" w:rsidTr="007C6E13">
        <w:tc>
          <w:tcPr>
            <w:tcW w:w="1218" w:type="pct"/>
            <w:tcBorders>
              <w:top w:val="single" w:sz="3" w:space="0" w:color="000000"/>
              <w:left w:val="single" w:sz="3" w:space="0" w:color="000000"/>
              <w:bottom w:val="nil"/>
              <w:right w:val="nil"/>
            </w:tcBorders>
            <w:shd w:val="clear" w:color="auto" w:fill="FFFFFF"/>
            <w:vAlign w:val="center"/>
          </w:tcPr>
          <w:p w:rsidR="00932837" w:rsidRPr="00932837" w:rsidRDefault="00932837" w:rsidP="008F75E8">
            <w:pPr>
              <w:autoSpaceDE w:val="0"/>
              <w:autoSpaceDN w:val="0"/>
              <w:adjustRightInd w:val="0"/>
              <w:spacing w:before="120"/>
              <w:jc w:val="center"/>
              <w:rPr>
                <w:rFonts w:ascii="Times New Roman" w:eastAsia="Calibri" w:hAnsi="Times New Roman" w:cs="Times New Roman"/>
              </w:rPr>
            </w:pPr>
            <w:r w:rsidRPr="00932837">
              <w:rPr>
                <w:rFonts w:ascii="Times New Roman" w:eastAsia="Calibri" w:hAnsi="Times New Roman" w:cs="Times New Roman"/>
                <w:b/>
                <w:bCs/>
              </w:rPr>
              <w:t>CHÍNH SÁCH/ QUY ĐỊNH CỦA DỰ THẢO</w:t>
            </w:r>
          </w:p>
        </w:tc>
        <w:tc>
          <w:tcPr>
            <w:tcW w:w="1409" w:type="pct"/>
            <w:tcBorders>
              <w:top w:val="single" w:sz="3" w:space="0" w:color="000000"/>
              <w:left w:val="single" w:sz="3" w:space="0" w:color="000000"/>
              <w:bottom w:val="nil"/>
              <w:right w:val="nil"/>
            </w:tcBorders>
            <w:shd w:val="clear" w:color="auto" w:fill="FFFFFF"/>
            <w:vAlign w:val="center"/>
          </w:tcPr>
          <w:p w:rsidR="00932837" w:rsidRPr="00932837" w:rsidRDefault="00932837" w:rsidP="008F75E8">
            <w:pPr>
              <w:autoSpaceDE w:val="0"/>
              <w:autoSpaceDN w:val="0"/>
              <w:adjustRightInd w:val="0"/>
              <w:spacing w:before="120"/>
              <w:jc w:val="center"/>
              <w:rPr>
                <w:rFonts w:ascii="Times New Roman" w:eastAsia="Calibri" w:hAnsi="Times New Roman" w:cs="Times New Roman"/>
              </w:rPr>
            </w:pPr>
            <w:r w:rsidRPr="00932837">
              <w:rPr>
                <w:rFonts w:ascii="Times New Roman" w:eastAsia="Calibri" w:hAnsi="Times New Roman" w:cs="Times New Roman"/>
                <w:b/>
                <w:bCs/>
              </w:rPr>
              <w:t>CHỦ TRƯƠNG, ĐƯỜNG LỐI CỦA ĐẢNG</w:t>
            </w:r>
          </w:p>
        </w:tc>
        <w:tc>
          <w:tcPr>
            <w:tcW w:w="1181" w:type="pct"/>
            <w:tcBorders>
              <w:top w:val="single" w:sz="3" w:space="0" w:color="000000"/>
              <w:left w:val="single" w:sz="3" w:space="0" w:color="000000"/>
              <w:bottom w:val="nil"/>
              <w:right w:val="nil"/>
            </w:tcBorders>
            <w:shd w:val="clear" w:color="auto" w:fill="FFFFFF"/>
            <w:vAlign w:val="center"/>
          </w:tcPr>
          <w:p w:rsidR="00932837" w:rsidRPr="00932837" w:rsidRDefault="00932837" w:rsidP="008F75E8">
            <w:pPr>
              <w:autoSpaceDE w:val="0"/>
              <w:autoSpaceDN w:val="0"/>
              <w:adjustRightInd w:val="0"/>
              <w:spacing w:before="120"/>
              <w:jc w:val="center"/>
              <w:rPr>
                <w:rFonts w:ascii="Times New Roman" w:eastAsia="Calibri" w:hAnsi="Times New Roman" w:cs="Times New Roman"/>
              </w:rPr>
            </w:pPr>
            <w:r w:rsidRPr="00932837">
              <w:rPr>
                <w:rFonts w:ascii="Times New Roman" w:eastAsia="Calibri" w:hAnsi="Times New Roman" w:cs="Times New Roman"/>
                <w:b/>
                <w:bCs/>
              </w:rPr>
              <w:t xml:space="preserve">ĐÁNH GIÁ </w:t>
            </w:r>
            <w:r w:rsidRPr="00932837">
              <w:rPr>
                <w:rFonts w:ascii="Times New Roman" w:eastAsia="Calibri" w:hAnsi="Times New Roman" w:cs="Times New Roman"/>
                <w:b/>
                <w:bCs/>
              </w:rPr>
              <w:br/>
              <w:t>(Đã thể chế đầy đủ hoặc một phần)</w:t>
            </w:r>
          </w:p>
        </w:tc>
        <w:tc>
          <w:tcPr>
            <w:tcW w:w="1191" w:type="pct"/>
            <w:tcBorders>
              <w:top w:val="single" w:sz="3" w:space="0" w:color="000000"/>
              <w:left w:val="single" w:sz="3" w:space="0" w:color="000000"/>
              <w:bottom w:val="nil"/>
              <w:right w:val="single" w:sz="3" w:space="0" w:color="000000"/>
            </w:tcBorders>
            <w:shd w:val="clear" w:color="auto" w:fill="FFFFFF"/>
            <w:vAlign w:val="center"/>
          </w:tcPr>
          <w:p w:rsidR="00932837" w:rsidRPr="00932837" w:rsidRDefault="00932837" w:rsidP="008F75E8">
            <w:pPr>
              <w:autoSpaceDE w:val="0"/>
              <w:autoSpaceDN w:val="0"/>
              <w:adjustRightInd w:val="0"/>
              <w:spacing w:before="120"/>
              <w:jc w:val="center"/>
              <w:rPr>
                <w:rFonts w:ascii="Times New Roman" w:eastAsia="Calibri" w:hAnsi="Times New Roman" w:cs="Times New Roman"/>
              </w:rPr>
            </w:pPr>
            <w:r w:rsidRPr="00932837">
              <w:rPr>
                <w:rFonts w:ascii="Times New Roman" w:eastAsia="Calibri" w:hAnsi="Times New Roman" w:cs="Times New Roman"/>
                <w:b/>
                <w:bCs/>
              </w:rPr>
              <w:t>ĐỀ XUẤT XỬ LÝ</w:t>
            </w:r>
          </w:p>
        </w:tc>
      </w:tr>
      <w:tr w:rsidR="00932837" w:rsidRPr="00932837" w:rsidTr="007C6E13">
        <w:tc>
          <w:tcPr>
            <w:tcW w:w="1218" w:type="pct"/>
            <w:tcBorders>
              <w:top w:val="single" w:sz="3" w:space="0" w:color="000000"/>
              <w:left w:val="single" w:sz="3" w:space="0" w:color="000000"/>
              <w:bottom w:val="nil"/>
              <w:right w:val="nil"/>
            </w:tcBorders>
            <w:shd w:val="clear" w:color="auto" w:fill="FFFFFF"/>
            <w:vAlign w:val="center"/>
          </w:tcPr>
          <w:p w:rsidR="00932837" w:rsidRPr="00932837" w:rsidRDefault="00D6626E" w:rsidP="007C6E13">
            <w:pPr>
              <w:autoSpaceDE w:val="0"/>
              <w:autoSpaceDN w:val="0"/>
              <w:adjustRightInd w:val="0"/>
              <w:spacing w:before="120"/>
              <w:jc w:val="both"/>
              <w:rPr>
                <w:rFonts w:ascii="Times New Roman" w:eastAsia="Calibri" w:hAnsi="Times New Roman" w:cs="Times New Roman"/>
              </w:rPr>
            </w:pPr>
            <w:r>
              <w:rPr>
                <w:rFonts w:ascii="Times New Roman" w:eastAsia="Calibri" w:hAnsi="Times New Roman" w:cs="Times New Roman"/>
              </w:rPr>
              <w:t>Hình thành và phát triển sản phẩm bảo hiểm hưu trí bổ sung theo nguyên tắc tự nguyện và vận hành theo nguyên tắc thị trường</w:t>
            </w:r>
          </w:p>
        </w:tc>
        <w:tc>
          <w:tcPr>
            <w:tcW w:w="1409" w:type="pct"/>
            <w:tcBorders>
              <w:top w:val="single" w:sz="3" w:space="0" w:color="000000"/>
              <w:left w:val="single" w:sz="3" w:space="0" w:color="000000"/>
              <w:bottom w:val="nil"/>
              <w:right w:val="nil"/>
            </w:tcBorders>
            <w:shd w:val="clear" w:color="auto" w:fill="FFFFFF"/>
            <w:vAlign w:val="center"/>
          </w:tcPr>
          <w:p w:rsidR="00932837" w:rsidRPr="00932837" w:rsidRDefault="00D6626E" w:rsidP="007C6E13">
            <w:pPr>
              <w:autoSpaceDE w:val="0"/>
              <w:autoSpaceDN w:val="0"/>
              <w:adjustRightInd w:val="0"/>
              <w:spacing w:before="120"/>
              <w:jc w:val="both"/>
              <w:rPr>
                <w:rFonts w:ascii="Times New Roman" w:eastAsia="Calibri" w:hAnsi="Times New Roman" w:cs="Times New Roman"/>
              </w:rPr>
            </w:pPr>
            <w:r w:rsidRPr="00D6626E">
              <w:rPr>
                <w:rFonts w:ascii="Times New Roman" w:eastAsia="Calibri" w:hAnsi="Times New Roman" w:cs="Times New Roman"/>
              </w:rPr>
              <w:t xml:space="preserve">Nghị quyết số </w:t>
            </w:r>
            <w:r w:rsidRPr="00D6626E">
              <w:rPr>
                <w:rFonts w:ascii="Times New Roman" w:eastAsia="Calibri" w:hAnsi="Times New Roman" w:cs="Times New Roman"/>
                <w:lang w:val="vi-VN"/>
              </w:rPr>
              <w:t>28-</w:t>
            </w:r>
            <w:r w:rsidRPr="00D6626E">
              <w:rPr>
                <w:rFonts w:ascii="Times New Roman" w:eastAsia="Calibri" w:hAnsi="Times New Roman" w:cs="Times New Roman"/>
              </w:rPr>
              <w:t>NQ</w:t>
            </w:r>
            <w:r w:rsidRPr="00D6626E">
              <w:rPr>
                <w:rFonts w:ascii="Times New Roman" w:eastAsia="Calibri" w:hAnsi="Times New Roman" w:cs="Times New Roman"/>
                <w:lang w:val="vi-VN"/>
              </w:rPr>
              <w:t>/</w:t>
            </w:r>
            <w:r w:rsidRPr="00D6626E">
              <w:rPr>
                <w:rFonts w:ascii="Times New Roman" w:eastAsia="Calibri" w:hAnsi="Times New Roman" w:cs="Times New Roman"/>
              </w:rPr>
              <w:t xml:space="preserve">TW </w:t>
            </w:r>
            <w:r w:rsidRPr="00D6626E">
              <w:rPr>
                <w:rFonts w:ascii="Times New Roman" w:eastAsia="Calibri" w:hAnsi="Times New Roman" w:cs="Times New Roman"/>
                <w:bCs/>
                <w:iCs/>
              </w:rPr>
              <w:t>ngày 23/5/2018 của Ban Chấp hành Trung ương khóa XII về cải cách chính sách bảo hiểm xã hội (Nghị quyết số 28)</w:t>
            </w:r>
            <w:r w:rsidRPr="00D6626E">
              <w:rPr>
                <w:rFonts w:ascii="Times New Roman" w:eastAsia="Calibri" w:hAnsi="Times New Roman" w:cs="Times New Roman"/>
                <w:bCs/>
                <w:iCs/>
                <w:lang w:val="nl-NL"/>
              </w:rPr>
              <w:t xml:space="preserve"> chủ trương một trong các nội dung cải cách là xây dựng hệ thống bảo hiểm xã hội đa tầng, bao gồm bảo hiểm hưu trí bổ sung để hướng tới mục tiêu “</w:t>
            </w:r>
            <w:r w:rsidRPr="00D6626E">
              <w:rPr>
                <w:rFonts w:ascii="Times New Roman" w:eastAsia="Calibri" w:hAnsi="Times New Roman" w:cs="Times New Roman"/>
                <w:bCs/>
                <w:i/>
                <w:lang w:val="nl-NL"/>
              </w:rPr>
              <w:t>từng bước mở rộng vững chắc diện bao phủ bảo hiểm xã hội, hướng tới mục tiêu bảo hiểm xã hội toàn dân</w:t>
            </w:r>
            <w:r w:rsidRPr="00D6626E">
              <w:rPr>
                <w:rFonts w:ascii="Times New Roman" w:eastAsia="Calibri" w:hAnsi="Times New Roman" w:cs="Times New Roman"/>
                <w:bCs/>
                <w:iCs/>
                <w:lang w:val="nl-NL"/>
              </w:rPr>
              <w:t>”; “</w:t>
            </w:r>
            <w:r w:rsidRPr="00D6626E">
              <w:rPr>
                <w:rFonts w:ascii="Times New Roman" w:eastAsia="Calibri" w:hAnsi="Times New Roman" w:cs="Times New Roman"/>
                <w:bCs/>
                <w:i/>
                <w:lang w:val="nl-NL"/>
              </w:rPr>
              <w:t>phát triển hệ thống bảo hiểm xã hội linh hoạt, đa dạng, đa tầng, hiện đại và hội nhập quốc tế”</w:t>
            </w:r>
            <w:r w:rsidRPr="00D6626E">
              <w:rPr>
                <w:rFonts w:ascii="Times New Roman" w:eastAsia="Calibri" w:hAnsi="Times New Roman" w:cs="Times New Roman"/>
                <w:bCs/>
                <w:iCs/>
                <w:lang w:val="nl-NL"/>
              </w:rPr>
              <w:t xml:space="preserve">, đảm bảo tính an toàn, bền vững trong dài hạn của hệ thống bảo hiểm xã hội và các chính sách bảo hiểm xã hội. Trong đó, bảo hiểm hưu trí bổ sung là </w:t>
            </w:r>
            <w:r w:rsidRPr="00D6626E">
              <w:rPr>
                <w:rFonts w:ascii="Times New Roman" w:eastAsia="Calibri" w:hAnsi="Times New Roman" w:cs="Times New Roman"/>
                <w:bCs/>
                <w:i/>
                <w:lang w:val="nl-NL"/>
              </w:rPr>
              <w:t>chế độ hưu trí tự nguyện theo nguyên tắc thị trường, tạo điều kiện cho người sử dụng lao động và người lao động có thêm sự lựa chọn tham gia đóng góp để được hưởng mức lương hưu cao hơn</w:t>
            </w:r>
            <w:r w:rsidRPr="00D6626E">
              <w:rPr>
                <w:rFonts w:ascii="Times New Roman" w:eastAsia="Calibri" w:hAnsi="Times New Roman" w:cs="Times New Roman"/>
                <w:bCs/>
                <w:iCs/>
                <w:lang w:val="nl-NL"/>
              </w:rPr>
              <w:t>.</w:t>
            </w:r>
          </w:p>
        </w:tc>
        <w:tc>
          <w:tcPr>
            <w:tcW w:w="1181" w:type="pct"/>
            <w:tcBorders>
              <w:top w:val="single" w:sz="3" w:space="0" w:color="000000"/>
              <w:left w:val="single" w:sz="3" w:space="0" w:color="000000"/>
              <w:bottom w:val="nil"/>
              <w:right w:val="nil"/>
            </w:tcBorders>
            <w:shd w:val="clear" w:color="auto" w:fill="FFFFFF"/>
            <w:vAlign w:val="center"/>
          </w:tcPr>
          <w:p w:rsidR="00932837" w:rsidRDefault="00D6626E" w:rsidP="007C6E13">
            <w:pPr>
              <w:autoSpaceDE w:val="0"/>
              <w:autoSpaceDN w:val="0"/>
              <w:adjustRightInd w:val="0"/>
              <w:spacing w:before="120"/>
              <w:jc w:val="both"/>
              <w:rPr>
                <w:rFonts w:ascii="Times New Roman" w:eastAsia="Calibri" w:hAnsi="Times New Roman" w:cs="Times New Roman"/>
              </w:rPr>
            </w:pPr>
            <w:r>
              <w:rPr>
                <w:rFonts w:ascii="Times New Roman" w:eastAsia="Calibri" w:hAnsi="Times New Roman" w:cs="Times New Roman"/>
              </w:rPr>
              <w:t>Đã thể chế đầy đủ các nguyên tắc của chính sách bảo hiểm hưu trí bổ sung theo quan điểm chỉ đạo của Nghị quyết 28</w:t>
            </w:r>
          </w:p>
          <w:p w:rsidR="00D6626E" w:rsidRPr="00932837" w:rsidRDefault="00D6626E" w:rsidP="007C6E13">
            <w:pPr>
              <w:autoSpaceDE w:val="0"/>
              <w:autoSpaceDN w:val="0"/>
              <w:adjustRightInd w:val="0"/>
              <w:spacing w:before="120"/>
              <w:jc w:val="both"/>
              <w:rPr>
                <w:rFonts w:ascii="Times New Roman" w:eastAsia="Calibri" w:hAnsi="Times New Roman" w:cs="Times New Roman"/>
              </w:rPr>
            </w:pPr>
          </w:p>
        </w:tc>
        <w:tc>
          <w:tcPr>
            <w:tcW w:w="1191" w:type="pct"/>
            <w:tcBorders>
              <w:top w:val="single" w:sz="3" w:space="0" w:color="000000"/>
              <w:left w:val="single" w:sz="3" w:space="0" w:color="000000"/>
              <w:bottom w:val="nil"/>
              <w:right w:val="single" w:sz="3" w:space="0" w:color="000000"/>
            </w:tcBorders>
            <w:shd w:val="clear" w:color="auto" w:fill="FFFFFF"/>
            <w:vAlign w:val="center"/>
          </w:tcPr>
          <w:p w:rsidR="00932837" w:rsidRPr="00932837" w:rsidRDefault="00932837" w:rsidP="007C6E13">
            <w:pPr>
              <w:autoSpaceDE w:val="0"/>
              <w:autoSpaceDN w:val="0"/>
              <w:adjustRightInd w:val="0"/>
              <w:spacing w:before="120"/>
              <w:jc w:val="both"/>
              <w:rPr>
                <w:rFonts w:ascii="Times New Roman" w:eastAsia="Calibri" w:hAnsi="Times New Roman" w:cs="Times New Roman"/>
              </w:rPr>
            </w:pPr>
          </w:p>
        </w:tc>
      </w:tr>
      <w:tr w:rsidR="00932837" w:rsidRPr="00932837" w:rsidTr="007C6E13">
        <w:tc>
          <w:tcPr>
            <w:tcW w:w="1218" w:type="pct"/>
            <w:tcBorders>
              <w:top w:val="single" w:sz="3" w:space="0" w:color="000000"/>
              <w:left w:val="single" w:sz="3" w:space="0" w:color="000000"/>
              <w:bottom w:val="nil"/>
              <w:right w:val="nil"/>
            </w:tcBorders>
            <w:shd w:val="clear" w:color="auto" w:fill="FFFFFF"/>
            <w:vAlign w:val="center"/>
          </w:tcPr>
          <w:p w:rsidR="00932837" w:rsidRPr="00932837" w:rsidRDefault="007C6E13" w:rsidP="007C6E13">
            <w:pPr>
              <w:autoSpaceDE w:val="0"/>
              <w:autoSpaceDN w:val="0"/>
              <w:adjustRightInd w:val="0"/>
              <w:spacing w:before="120"/>
              <w:jc w:val="both"/>
              <w:rPr>
                <w:rFonts w:ascii="Times New Roman" w:eastAsia="Calibri" w:hAnsi="Times New Roman" w:cs="Times New Roman"/>
              </w:rPr>
            </w:pPr>
            <w:r>
              <w:rPr>
                <w:rFonts w:ascii="Times New Roman" w:eastAsia="Calibri" w:hAnsi="Times New Roman" w:cs="Times New Roman"/>
                <w:bCs/>
                <w:lang w:val="pt-BR"/>
              </w:rPr>
              <w:t>D</w:t>
            </w:r>
            <w:r w:rsidRPr="007C6E13">
              <w:rPr>
                <w:rFonts w:ascii="Times New Roman" w:eastAsia="Calibri" w:hAnsi="Times New Roman" w:cs="Times New Roman"/>
                <w:bCs/>
                <w:lang w:val="pt-BR"/>
              </w:rPr>
              <w:t>ự thảo Nghị định</w:t>
            </w:r>
            <w:r>
              <w:rPr>
                <w:rFonts w:ascii="Times New Roman" w:eastAsia="Calibri" w:hAnsi="Times New Roman" w:cs="Times New Roman"/>
                <w:bCs/>
                <w:lang w:val="pt-BR"/>
              </w:rPr>
              <w:t xml:space="preserve"> quy định về danh mục đầu tư của quỹ hưu trí theo hướng đa dạng sản phầm đầu tư thông qua</w:t>
            </w:r>
            <w:r w:rsidRPr="007C6E13">
              <w:rPr>
                <w:rFonts w:ascii="Times New Roman" w:eastAsia="Calibri" w:hAnsi="Times New Roman" w:cs="Times New Roman"/>
                <w:bCs/>
                <w:lang w:val="pt-BR"/>
              </w:rPr>
              <w:t xml:space="preserve">: (i) giảm yêu cầu về tỷ trọng tối thiểu vào TPCP và quy định mức đầu tư tối thiểu vào TPCP theo quy mô quỹ; (ii) cho phép đầu tư vào chứng khoán niêm yết. Song song với việc mở rộng danh mục đầu tư, dự thảo bổ sung các quy định các biện pháp để tăng cường quản lý rủi ro, đảm bảo quyền lợi của người tham gia quỹ hưu trí như: (i) quy định mức đầu tư tối đa vào chứng khoán niêm yết (cổ phiếu, trái phiếu) và chứng chỉ quỹ (tương tự quỹ mở); (ii) hạn mức đầu tư vào chứng khoán của 1 tổ chức phát hành (chặt hơn so với quỹ mở). </w:t>
            </w:r>
          </w:p>
        </w:tc>
        <w:tc>
          <w:tcPr>
            <w:tcW w:w="1409" w:type="pct"/>
            <w:tcBorders>
              <w:top w:val="single" w:sz="3" w:space="0" w:color="000000"/>
              <w:left w:val="single" w:sz="3" w:space="0" w:color="000000"/>
              <w:bottom w:val="nil"/>
              <w:right w:val="nil"/>
            </w:tcBorders>
            <w:shd w:val="clear" w:color="auto" w:fill="FFFFFF"/>
            <w:vAlign w:val="center"/>
          </w:tcPr>
          <w:p w:rsidR="00932837" w:rsidRPr="00932837" w:rsidRDefault="00D6626E" w:rsidP="007C6E13">
            <w:pPr>
              <w:autoSpaceDE w:val="0"/>
              <w:autoSpaceDN w:val="0"/>
              <w:adjustRightInd w:val="0"/>
              <w:spacing w:before="120"/>
              <w:jc w:val="both"/>
              <w:rPr>
                <w:rFonts w:ascii="Times New Roman" w:eastAsia="Calibri" w:hAnsi="Times New Roman" w:cs="Times New Roman"/>
              </w:rPr>
            </w:pPr>
            <w:r w:rsidRPr="00D6626E">
              <w:rPr>
                <w:rFonts w:ascii="Times New Roman" w:eastAsia="Calibri" w:hAnsi="Times New Roman" w:cs="Times New Roman"/>
                <w:bCs/>
                <w:iCs/>
              </w:rPr>
              <w:t xml:space="preserve">Nghị quyết số </w:t>
            </w:r>
            <w:r w:rsidRPr="00D6626E">
              <w:rPr>
                <w:rFonts w:ascii="Times New Roman" w:eastAsia="Calibri" w:hAnsi="Times New Roman" w:cs="Times New Roman"/>
                <w:bCs/>
                <w:iCs/>
                <w:lang w:val="vi-VN"/>
              </w:rPr>
              <w:t>68-</w:t>
            </w:r>
            <w:r w:rsidRPr="00D6626E">
              <w:rPr>
                <w:rFonts w:ascii="Times New Roman" w:eastAsia="Calibri" w:hAnsi="Times New Roman" w:cs="Times New Roman"/>
                <w:bCs/>
                <w:iCs/>
              </w:rPr>
              <w:t>NQ</w:t>
            </w:r>
            <w:r w:rsidRPr="00D6626E">
              <w:rPr>
                <w:rFonts w:ascii="Times New Roman" w:eastAsia="Calibri" w:hAnsi="Times New Roman" w:cs="Times New Roman"/>
                <w:bCs/>
                <w:iCs/>
                <w:lang w:val="vi-VN"/>
              </w:rPr>
              <w:t>/</w:t>
            </w:r>
            <w:r w:rsidRPr="00D6626E">
              <w:rPr>
                <w:rFonts w:ascii="Times New Roman" w:eastAsia="Calibri" w:hAnsi="Times New Roman" w:cs="Times New Roman"/>
                <w:bCs/>
                <w:iCs/>
              </w:rPr>
              <w:t>TW ngày 4/5/2025 của Bộ Chính trị về phát triển kinh tế tư nhân chủ trương “</w:t>
            </w:r>
            <w:r w:rsidRPr="00D6626E">
              <w:rPr>
                <w:rFonts w:ascii="Times New Roman" w:eastAsia="Calibri" w:hAnsi="Times New Roman" w:cs="Times New Roman"/>
                <w:bCs/>
                <w:i/>
              </w:rPr>
              <w:t>nghiên cứu cho phép các định chế đầu tư tài chính mở rộng khả năng huy động vốn từ các nguồn như quỹ bảo hiểm xã hội, quỹ hưu trí tự nguyện để phát triển thị trường vốn, đặc biệt là vốn trung và dài hạn cho doanh nghiệp tư nhân”</w:t>
            </w:r>
            <w:r w:rsidRPr="00D6626E">
              <w:rPr>
                <w:rFonts w:ascii="Times New Roman" w:eastAsia="Calibri" w:hAnsi="Times New Roman" w:cs="Times New Roman"/>
                <w:bCs/>
                <w:iCs/>
              </w:rPr>
              <w:t>.</w:t>
            </w:r>
          </w:p>
        </w:tc>
        <w:tc>
          <w:tcPr>
            <w:tcW w:w="1181" w:type="pct"/>
            <w:tcBorders>
              <w:top w:val="single" w:sz="3" w:space="0" w:color="000000"/>
              <w:left w:val="single" w:sz="3" w:space="0" w:color="000000"/>
              <w:bottom w:val="nil"/>
              <w:right w:val="nil"/>
            </w:tcBorders>
            <w:shd w:val="clear" w:color="auto" w:fill="FFFFFF"/>
            <w:vAlign w:val="center"/>
          </w:tcPr>
          <w:p w:rsidR="007C6E13" w:rsidRPr="007C6E13" w:rsidRDefault="007C6E13" w:rsidP="007C6E13">
            <w:pPr>
              <w:autoSpaceDE w:val="0"/>
              <w:autoSpaceDN w:val="0"/>
              <w:adjustRightInd w:val="0"/>
              <w:spacing w:before="120"/>
              <w:jc w:val="both"/>
              <w:rPr>
                <w:rFonts w:ascii="Times New Roman" w:eastAsia="Calibri" w:hAnsi="Times New Roman" w:cs="Times New Roman"/>
                <w:bCs/>
                <w:lang w:val="pt-BR"/>
              </w:rPr>
            </w:pPr>
            <w:r>
              <w:rPr>
                <w:rFonts w:ascii="Times New Roman" w:eastAsia="Calibri" w:hAnsi="Times New Roman" w:cs="Times New Roman"/>
              </w:rPr>
              <w:t>Chính sách đề xuất tuân thủ đúng định hướng tại Nghị quyết số 68. V</w:t>
            </w:r>
            <w:r w:rsidRPr="007C6E13">
              <w:rPr>
                <w:rFonts w:ascii="Times New Roman" w:eastAsia="Calibri" w:hAnsi="Times New Roman" w:cs="Times New Roman"/>
                <w:bCs/>
                <w:lang w:val="pt-BR"/>
              </w:rPr>
              <w:t>iệc phát triển hệ thống quỹ đầu tư (bao gồm cả quỹ hưu trí) là giải pháp quan trọng nhằm tái cơ cấu cơ sở nhà đầu tư, phát triển nhà đầu tư có tổ chức có nguồn vốn dài hạn để đầu tư vào thị trường TPCP, thị trường tài chính</w:t>
            </w:r>
            <w:r>
              <w:rPr>
                <w:rFonts w:ascii="Times New Roman" w:eastAsia="Calibri" w:hAnsi="Times New Roman" w:cs="Times New Roman"/>
                <w:bCs/>
                <w:lang w:val="pt-BR"/>
              </w:rPr>
              <w:t>; tạo nguồn lực dài hạn cho doanh nghiệp tư nhân</w:t>
            </w:r>
            <w:r w:rsidRPr="007C6E13">
              <w:rPr>
                <w:rFonts w:ascii="Times New Roman" w:eastAsia="Calibri" w:hAnsi="Times New Roman" w:cs="Times New Roman"/>
                <w:bCs/>
                <w:lang w:val="pt-BR"/>
              </w:rPr>
              <w:t>.</w:t>
            </w:r>
          </w:p>
          <w:p w:rsidR="00932837" w:rsidRPr="00932837" w:rsidRDefault="00932837" w:rsidP="007C6E13">
            <w:pPr>
              <w:autoSpaceDE w:val="0"/>
              <w:autoSpaceDN w:val="0"/>
              <w:adjustRightInd w:val="0"/>
              <w:spacing w:before="120"/>
              <w:jc w:val="both"/>
              <w:rPr>
                <w:rFonts w:ascii="Times New Roman" w:eastAsia="Calibri" w:hAnsi="Times New Roman" w:cs="Times New Roman"/>
              </w:rPr>
            </w:pPr>
          </w:p>
        </w:tc>
        <w:tc>
          <w:tcPr>
            <w:tcW w:w="1191" w:type="pct"/>
            <w:tcBorders>
              <w:top w:val="single" w:sz="3" w:space="0" w:color="000000"/>
              <w:left w:val="single" w:sz="3" w:space="0" w:color="000000"/>
              <w:bottom w:val="nil"/>
              <w:right w:val="single" w:sz="3" w:space="0" w:color="000000"/>
            </w:tcBorders>
            <w:shd w:val="clear" w:color="auto" w:fill="FFFFFF"/>
            <w:vAlign w:val="center"/>
          </w:tcPr>
          <w:p w:rsidR="00932837" w:rsidRPr="00932837" w:rsidRDefault="00932837" w:rsidP="007C6E13">
            <w:pPr>
              <w:autoSpaceDE w:val="0"/>
              <w:autoSpaceDN w:val="0"/>
              <w:adjustRightInd w:val="0"/>
              <w:spacing w:before="120"/>
              <w:jc w:val="both"/>
              <w:rPr>
                <w:rFonts w:ascii="Times New Roman" w:eastAsia="Calibri" w:hAnsi="Times New Roman" w:cs="Times New Roman"/>
              </w:rPr>
            </w:pPr>
          </w:p>
        </w:tc>
      </w:tr>
      <w:tr w:rsidR="00932837" w:rsidRPr="00932837" w:rsidTr="007C6E13">
        <w:tc>
          <w:tcPr>
            <w:tcW w:w="1218" w:type="pct"/>
            <w:tcBorders>
              <w:top w:val="single" w:sz="3" w:space="0" w:color="000000"/>
              <w:left w:val="single" w:sz="3" w:space="0" w:color="000000"/>
              <w:bottom w:val="single" w:sz="3" w:space="0" w:color="000000"/>
              <w:right w:val="nil"/>
            </w:tcBorders>
            <w:shd w:val="clear" w:color="auto" w:fill="FFFFFF"/>
            <w:vAlign w:val="center"/>
          </w:tcPr>
          <w:p w:rsidR="007C6E13" w:rsidRPr="007C6E13" w:rsidRDefault="007C6E13" w:rsidP="007C6E13">
            <w:pPr>
              <w:autoSpaceDE w:val="0"/>
              <w:autoSpaceDN w:val="0"/>
              <w:adjustRightInd w:val="0"/>
              <w:spacing w:before="120"/>
              <w:jc w:val="both"/>
              <w:rPr>
                <w:rFonts w:ascii="Times New Roman" w:eastAsia="Calibri" w:hAnsi="Times New Roman" w:cs="Times New Roman"/>
                <w:bCs/>
                <w:lang w:val="pt-BR"/>
              </w:rPr>
            </w:pPr>
            <w:r>
              <w:rPr>
                <w:rFonts w:ascii="Times New Roman" w:eastAsia="Calibri" w:hAnsi="Times New Roman" w:cs="Times New Roman"/>
                <w:bCs/>
                <w:lang w:val="pt-BR"/>
              </w:rPr>
              <w:t>D</w:t>
            </w:r>
            <w:r w:rsidRPr="007C6E13">
              <w:rPr>
                <w:rFonts w:ascii="Times New Roman" w:eastAsia="Calibri" w:hAnsi="Times New Roman" w:cs="Times New Roman"/>
                <w:bCs/>
                <w:lang w:val="pt-BR"/>
              </w:rPr>
              <w:t xml:space="preserve">ự thảo Nghị định quy định về điều kiện cấp Giấy chứng nhận đủ điều kiện kinh doanh dịch vụ quản lý quỹ bảo hiểm hưu trí bổ sung theo hướng: </w:t>
            </w:r>
          </w:p>
          <w:p w:rsidR="007C6E13" w:rsidRPr="007C6E13" w:rsidRDefault="007C6E13" w:rsidP="007C6E13">
            <w:pPr>
              <w:autoSpaceDE w:val="0"/>
              <w:autoSpaceDN w:val="0"/>
              <w:adjustRightInd w:val="0"/>
              <w:spacing w:before="120"/>
              <w:jc w:val="both"/>
              <w:rPr>
                <w:rFonts w:ascii="Times New Roman" w:eastAsia="Calibri" w:hAnsi="Times New Roman" w:cs="Times New Roman"/>
                <w:bCs/>
                <w:lang w:val="pt-BR"/>
              </w:rPr>
            </w:pPr>
            <w:r w:rsidRPr="007C6E13">
              <w:rPr>
                <w:rFonts w:ascii="Times New Roman" w:eastAsia="Calibri" w:hAnsi="Times New Roman" w:cs="Times New Roman"/>
                <w:bCs/>
                <w:lang w:val="pt-BR"/>
              </w:rPr>
              <w:t>- Bỏ các điều kiện: (i) doanh nghiệp đề nghị cấp Giấy chứng nhận không phải là tổ chức nằm trong diện đang được tái cơ cấu hoặc bị kiểm soát, giám sát đặc biệt theo quyết định của cơ quan nhà nước có thẩm quyền; (ii) có quy trình quản trị rủi ro, hệ thống kiểm soát nội bộ (đưa chung vào điều kiện về phương án kinh doanh dịch vụ quản lý quỹ).</w:t>
            </w:r>
          </w:p>
          <w:p w:rsidR="00932837" w:rsidRPr="007C6E13" w:rsidRDefault="007C6E13" w:rsidP="007C6E13">
            <w:pPr>
              <w:autoSpaceDE w:val="0"/>
              <w:autoSpaceDN w:val="0"/>
              <w:adjustRightInd w:val="0"/>
              <w:spacing w:before="120"/>
              <w:jc w:val="both"/>
              <w:rPr>
                <w:rFonts w:ascii="Times New Roman" w:eastAsia="Calibri" w:hAnsi="Times New Roman" w:cs="Times New Roman"/>
                <w:bCs/>
                <w:lang w:val="pt-BR"/>
              </w:rPr>
            </w:pPr>
            <w:r w:rsidRPr="007C6E13">
              <w:rPr>
                <w:rFonts w:ascii="Times New Roman" w:eastAsia="Calibri" w:hAnsi="Times New Roman" w:cs="Times New Roman"/>
                <w:bCs/>
                <w:lang w:val="pt-BR"/>
              </w:rPr>
              <w:t>- Đơn giản hóa các điều kiện: (i) có chiến lược hoạt động quản lý quỹ hưu trí trong 5 năm; (ii) chấp thuận chứng chỉ hành nghề quản lý quỹ do Ủy ban Chứng khoán Nhà nước cấp hoặc là thành viên của Hiệp hội các nhà phân tích tài chính (CFA) hoặc các chứng chỉ chuyên môn tương đương khác ở nước ngoài.</w:t>
            </w:r>
          </w:p>
        </w:tc>
        <w:tc>
          <w:tcPr>
            <w:tcW w:w="1409" w:type="pct"/>
            <w:tcBorders>
              <w:top w:val="single" w:sz="3" w:space="0" w:color="000000"/>
              <w:left w:val="single" w:sz="3" w:space="0" w:color="000000"/>
              <w:bottom w:val="single" w:sz="3" w:space="0" w:color="000000"/>
              <w:right w:val="nil"/>
            </w:tcBorders>
            <w:shd w:val="clear" w:color="auto" w:fill="FFFFFF"/>
            <w:vAlign w:val="center"/>
          </w:tcPr>
          <w:p w:rsidR="00932837" w:rsidRPr="00932837" w:rsidRDefault="00D6626E" w:rsidP="007C6E13">
            <w:pPr>
              <w:autoSpaceDE w:val="0"/>
              <w:autoSpaceDN w:val="0"/>
              <w:adjustRightInd w:val="0"/>
              <w:spacing w:before="120"/>
              <w:jc w:val="both"/>
              <w:rPr>
                <w:rFonts w:ascii="Times New Roman" w:eastAsia="Calibri" w:hAnsi="Times New Roman" w:cs="Times New Roman"/>
              </w:rPr>
            </w:pPr>
            <w:r w:rsidRPr="00D6626E">
              <w:rPr>
                <w:rFonts w:ascii="Times New Roman" w:eastAsia="Calibri" w:hAnsi="Times New Roman" w:cs="Times New Roman"/>
                <w:bCs/>
                <w:iCs/>
              </w:rPr>
              <w:t>Nghị quyết số 66-NQ/TW ngày 30/4/2025 của Bộ Chính trị về đổi mới công tác xây dựng và thi hành pháp luật đáp ứng yêu cầu phát triển đất nước trong kỷ nguyên mới chủ trương “</w:t>
            </w:r>
            <w:r w:rsidRPr="00D6626E">
              <w:rPr>
                <w:rFonts w:ascii="Times New Roman" w:eastAsia="Calibri" w:hAnsi="Times New Roman" w:cs="Times New Roman"/>
                <w:bCs/>
                <w:i/>
              </w:rPr>
              <w:t>triệt để cắt giảm, đơn giản hóa điều kiện đầu tư, kinh doanh, ngành nghề, thủ tục hành chính bất hợp lý</w:t>
            </w:r>
            <w:r w:rsidRPr="00D6626E">
              <w:rPr>
                <w:rFonts w:ascii="Times New Roman" w:eastAsia="Calibri" w:hAnsi="Times New Roman" w:cs="Times New Roman"/>
                <w:bCs/>
                <w:iCs/>
              </w:rPr>
              <w:t>”.</w:t>
            </w:r>
          </w:p>
        </w:tc>
        <w:tc>
          <w:tcPr>
            <w:tcW w:w="1181" w:type="pct"/>
            <w:tcBorders>
              <w:top w:val="single" w:sz="3" w:space="0" w:color="000000"/>
              <w:left w:val="single" w:sz="3" w:space="0" w:color="000000"/>
              <w:bottom w:val="single" w:sz="3" w:space="0" w:color="000000"/>
              <w:right w:val="nil"/>
            </w:tcBorders>
            <w:shd w:val="clear" w:color="auto" w:fill="FFFFFF"/>
            <w:vAlign w:val="center"/>
          </w:tcPr>
          <w:p w:rsidR="00932837" w:rsidRPr="00932837" w:rsidRDefault="007C6E13" w:rsidP="007C6E13">
            <w:pPr>
              <w:autoSpaceDE w:val="0"/>
              <w:autoSpaceDN w:val="0"/>
              <w:adjustRightInd w:val="0"/>
              <w:spacing w:before="120"/>
              <w:jc w:val="both"/>
              <w:rPr>
                <w:rFonts w:ascii="Times New Roman" w:eastAsia="Calibri" w:hAnsi="Times New Roman" w:cs="Times New Roman"/>
              </w:rPr>
            </w:pPr>
            <w:r>
              <w:rPr>
                <w:rFonts w:ascii="Times New Roman" w:eastAsia="Calibri" w:hAnsi="Times New Roman" w:cs="Times New Roman"/>
              </w:rPr>
              <w:t xml:space="preserve">Nội dung chính sách tuân thủ </w:t>
            </w:r>
            <w:r w:rsidRPr="007C6E13">
              <w:rPr>
                <w:rFonts w:ascii="Times New Roman" w:eastAsia="Calibri" w:hAnsi="Times New Roman" w:cs="Times New Roman"/>
                <w:bCs/>
                <w:lang w:val="pt-BR"/>
              </w:rPr>
              <w:t>định hướng cắt giảm, đơn giản hóa điều kiện kinh doanh, thủ tục hành chính, tạo môi trường đầu tư kinh doanh thông thoáng cho doanh nghiệp, và chuyển mạnh từ tiền kiểm sang hậu kiểm, gắn với tăng cường kiểm tra, giám sát theo Nghị quyết số 68-NQ/TW</w:t>
            </w:r>
          </w:p>
        </w:tc>
        <w:tc>
          <w:tcPr>
            <w:tcW w:w="1191" w:type="pct"/>
            <w:tcBorders>
              <w:top w:val="single" w:sz="3" w:space="0" w:color="000000"/>
              <w:left w:val="single" w:sz="3" w:space="0" w:color="000000"/>
              <w:bottom w:val="single" w:sz="3" w:space="0" w:color="000000"/>
              <w:right w:val="single" w:sz="3" w:space="0" w:color="000000"/>
            </w:tcBorders>
            <w:shd w:val="clear" w:color="auto" w:fill="FFFFFF"/>
            <w:vAlign w:val="center"/>
          </w:tcPr>
          <w:p w:rsidR="00932837" w:rsidRPr="00932837" w:rsidRDefault="00932837" w:rsidP="007C6E13">
            <w:pPr>
              <w:autoSpaceDE w:val="0"/>
              <w:autoSpaceDN w:val="0"/>
              <w:adjustRightInd w:val="0"/>
              <w:spacing w:before="120"/>
              <w:jc w:val="both"/>
              <w:rPr>
                <w:rFonts w:ascii="Times New Roman" w:eastAsia="Calibri" w:hAnsi="Times New Roman" w:cs="Times New Roman"/>
              </w:rPr>
            </w:pPr>
          </w:p>
        </w:tc>
      </w:tr>
    </w:tbl>
    <w:p w:rsidR="00932837" w:rsidRPr="00932837" w:rsidRDefault="00932837" w:rsidP="00932837">
      <w:pPr>
        <w:autoSpaceDE w:val="0"/>
        <w:autoSpaceDN w:val="0"/>
        <w:adjustRightInd w:val="0"/>
        <w:spacing w:before="120"/>
        <w:rPr>
          <w:rFonts w:ascii="Times New Roman" w:eastAsia="Calibri" w:hAnsi="Times New Roman" w:cs="Times New Roman"/>
          <w:sz w:val="28"/>
        </w:rPr>
      </w:pPr>
      <w:r w:rsidRPr="00932837">
        <w:rPr>
          <w:rFonts w:ascii="Times New Roman" w:eastAsia="Calibri" w:hAnsi="Times New Roman" w:cs="Times New Roman"/>
          <w:b/>
          <w:bCs/>
          <w:sz w:val="28"/>
        </w:rPr>
        <w:t>2. Văn bản quy phạm pháp luật có liên quan đến chính sách/dự thảo</w:t>
      </w:r>
    </w:p>
    <w:tbl>
      <w:tblPr>
        <w:tblW w:w="5000" w:type="pct"/>
        <w:tblCellMar>
          <w:left w:w="85" w:type="dxa"/>
          <w:right w:w="113" w:type="dxa"/>
        </w:tblCellMar>
        <w:tblLook w:val="0000"/>
      </w:tblPr>
      <w:tblGrid>
        <w:gridCol w:w="3605"/>
        <w:gridCol w:w="4154"/>
        <w:gridCol w:w="3475"/>
        <w:gridCol w:w="3528"/>
      </w:tblGrid>
      <w:tr w:rsidR="00932837" w:rsidRPr="00932837" w:rsidTr="002F0227">
        <w:tc>
          <w:tcPr>
            <w:tcW w:w="1221" w:type="pct"/>
            <w:tcBorders>
              <w:top w:val="single" w:sz="3" w:space="0" w:color="000000"/>
              <w:left w:val="single" w:sz="3" w:space="0" w:color="000000"/>
              <w:bottom w:val="single" w:sz="4" w:space="0" w:color="auto"/>
              <w:right w:val="nil"/>
            </w:tcBorders>
            <w:shd w:val="clear" w:color="auto" w:fill="FFFFFF"/>
            <w:vAlign w:val="center"/>
          </w:tcPr>
          <w:p w:rsidR="00932837" w:rsidRPr="00932837" w:rsidRDefault="00932837" w:rsidP="008F75E8">
            <w:pPr>
              <w:autoSpaceDE w:val="0"/>
              <w:autoSpaceDN w:val="0"/>
              <w:adjustRightInd w:val="0"/>
              <w:spacing w:before="120"/>
              <w:jc w:val="center"/>
              <w:rPr>
                <w:rFonts w:ascii="Times New Roman" w:eastAsia="Calibri" w:hAnsi="Times New Roman" w:cs="Times New Roman"/>
              </w:rPr>
            </w:pPr>
            <w:r w:rsidRPr="00932837">
              <w:rPr>
                <w:rFonts w:ascii="Times New Roman" w:eastAsia="Calibri" w:hAnsi="Times New Roman" w:cs="Times New Roman"/>
                <w:b/>
                <w:bCs/>
              </w:rPr>
              <w:t>CHÍNH SÁCH/ QUY ĐỊNH CỦA DỰ THẢO VĂN BẢN</w:t>
            </w:r>
          </w:p>
        </w:tc>
        <w:tc>
          <w:tcPr>
            <w:tcW w:w="1407" w:type="pct"/>
            <w:tcBorders>
              <w:top w:val="single" w:sz="3" w:space="0" w:color="000000"/>
              <w:left w:val="single" w:sz="3" w:space="0" w:color="000000"/>
              <w:bottom w:val="single" w:sz="4" w:space="0" w:color="auto"/>
              <w:right w:val="nil"/>
            </w:tcBorders>
            <w:shd w:val="clear" w:color="auto" w:fill="FFFFFF"/>
            <w:vAlign w:val="center"/>
          </w:tcPr>
          <w:p w:rsidR="00932837" w:rsidRPr="00932837" w:rsidRDefault="00932837" w:rsidP="008F75E8">
            <w:pPr>
              <w:autoSpaceDE w:val="0"/>
              <w:autoSpaceDN w:val="0"/>
              <w:adjustRightInd w:val="0"/>
              <w:spacing w:before="120"/>
              <w:jc w:val="center"/>
              <w:rPr>
                <w:rFonts w:ascii="Times New Roman" w:eastAsia="Calibri" w:hAnsi="Times New Roman" w:cs="Times New Roman"/>
              </w:rPr>
            </w:pPr>
            <w:r w:rsidRPr="00932837">
              <w:rPr>
                <w:rFonts w:ascii="Times New Roman" w:eastAsia="Calibri" w:hAnsi="Times New Roman" w:cs="Times New Roman"/>
                <w:b/>
                <w:bCs/>
              </w:rPr>
              <w:t>QUY ĐỊNH CỦA PHÁP LUẬT HIỆN HÀNH CÓ LIÊN QUAN</w:t>
            </w:r>
          </w:p>
        </w:tc>
        <w:tc>
          <w:tcPr>
            <w:tcW w:w="1177" w:type="pct"/>
            <w:tcBorders>
              <w:top w:val="single" w:sz="3" w:space="0" w:color="000000"/>
              <w:left w:val="single" w:sz="3" w:space="0" w:color="000000"/>
              <w:bottom w:val="single" w:sz="4" w:space="0" w:color="auto"/>
              <w:right w:val="nil"/>
            </w:tcBorders>
            <w:shd w:val="clear" w:color="auto" w:fill="FFFFFF"/>
            <w:vAlign w:val="center"/>
          </w:tcPr>
          <w:p w:rsidR="00932837" w:rsidRPr="00932837" w:rsidRDefault="00932837" w:rsidP="008F75E8">
            <w:pPr>
              <w:autoSpaceDE w:val="0"/>
              <w:autoSpaceDN w:val="0"/>
              <w:adjustRightInd w:val="0"/>
              <w:spacing w:before="120"/>
              <w:jc w:val="center"/>
              <w:rPr>
                <w:rFonts w:ascii="Times New Roman" w:eastAsia="Calibri" w:hAnsi="Times New Roman" w:cs="Times New Roman"/>
              </w:rPr>
            </w:pPr>
            <w:r w:rsidRPr="00932837">
              <w:rPr>
                <w:rFonts w:ascii="Times New Roman" w:eastAsia="Calibri" w:hAnsi="Times New Roman" w:cs="Times New Roman"/>
                <w:b/>
                <w:bCs/>
              </w:rPr>
              <w:t xml:space="preserve">ĐÁNH GIÁ </w:t>
            </w:r>
            <w:r w:rsidRPr="00932837">
              <w:rPr>
                <w:rFonts w:ascii="Times New Roman" w:eastAsia="Calibri" w:hAnsi="Times New Roman" w:cs="Times New Roman"/>
                <w:b/>
                <w:bCs/>
              </w:rPr>
              <w:br/>
              <w:t>(Tính hợp hiến, tính hợp pháp, tính thống nhất)</w:t>
            </w:r>
          </w:p>
        </w:tc>
        <w:tc>
          <w:tcPr>
            <w:tcW w:w="1195" w:type="pct"/>
            <w:tcBorders>
              <w:top w:val="single" w:sz="3" w:space="0" w:color="000000"/>
              <w:left w:val="single" w:sz="3" w:space="0" w:color="000000"/>
              <w:bottom w:val="single" w:sz="4" w:space="0" w:color="auto"/>
              <w:right w:val="single" w:sz="3" w:space="0" w:color="000000"/>
            </w:tcBorders>
            <w:shd w:val="clear" w:color="auto" w:fill="FFFFFF"/>
            <w:vAlign w:val="center"/>
          </w:tcPr>
          <w:p w:rsidR="00932837" w:rsidRPr="00932837" w:rsidRDefault="00932837" w:rsidP="008F75E8">
            <w:pPr>
              <w:autoSpaceDE w:val="0"/>
              <w:autoSpaceDN w:val="0"/>
              <w:adjustRightInd w:val="0"/>
              <w:spacing w:before="120"/>
              <w:jc w:val="center"/>
              <w:rPr>
                <w:rFonts w:ascii="Times New Roman" w:eastAsia="Calibri" w:hAnsi="Times New Roman" w:cs="Times New Roman"/>
              </w:rPr>
            </w:pPr>
            <w:r w:rsidRPr="00932837">
              <w:rPr>
                <w:rFonts w:ascii="Times New Roman" w:eastAsia="Calibri" w:hAnsi="Times New Roman" w:cs="Times New Roman"/>
                <w:b/>
                <w:bCs/>
              </w:rPr>
              <w:t>ĐỀ XUẤT XỬ LÝ</w:t>
            </w:r>
          </w:p>
        </w:tc>
      </w:tr>
      <w:tr w:rsidR="00932837" w:rsidRPr="00932837" w:rsidTr="002F0227">
        <w:tc>
          <w:tcPr>
            <w:tcW w:w="1221" w:type="pct"/>
            <w:tcBorders>
              <w:top w:val="single" w:sz="4" w:space="0" w:color="auto"/>
              <w:left w:val="single" w:sz="4" w:space="0" w:color="auto"/>
              <w:bottom w:val="single" w:sz="4" w:space="0" w:color="auto"/>
              <w:right w:val="single" w:sz="4" w:space="0" w:color="auto"/>
            </w:tcBorders>
            <w:shd w:val="clear" w:color="auto" w:fill="FFFFFF"/>
            <w:vAlign w:val="center"/>
          </w:tcPr>
          <w:p w:rsidR="00932837" w:rsidRDefault="007C6E13" w:rsidP="002F0227">
            <w:pPr>
              <w:autoSpaceDE w:val="0"/>
              <w:autoSpaceDN w:val="0"/>
              <w:adjustRightInd w:val="0"/>
              <w:spacing w:before="100" w:after="100" w:line="240" w:lineRule="auto"/>
              <w:jc w:val="both"/>
              <w:rPr>
                <w:rFonts w:ascii="Times New Roman" w:eastAsia="Calibri" w:hAnsi="Times New Roman" w:cs="Times New Roman"/>
              </w:rPr>
            </w:pPr>
            <w:r w:rsidRPr="007C6E13">
              <w:rPr>
                <w:rFonts w:ascii="Times New Roman" w:eastAsia="Calibri" w:hAnsi="Times New Roman" w:cs="Times New Roman"/>
              </w:rPr>
              <w:t>- Căn cứ Luật BHXH năm 2024, bảo hiểm hưu trí bổ sung là chế độ bảo hiểm xã hội mang tính chất tự nguyện theo nguyên tắc thị trường nhằm bổ sung cho chế độ hưu trí trong bảo hiểm xã hội bắt buộc, có cơ chế tạo lập quỹ từ đóng góp của người sử dụng lao động hoặc của người sử dụng lao động và người lao động.</w:t>
            </w:r>
          </w:p>
          <w:p w:rsidR="002F0227" w:rsidRPr="002F0227" w:rsidRDefault="007C6E13" w:rsidP="002F0227">
            <w:pPr>
              <w:autoSpaceDE w:val="0"/>
              <w:autoSpaceDN w:val="0"/>
              <w:adjustRightInd w:val="0"/>
              <w:spacing w:before="100" w:after="100" w:line="240" w:lineRule="auto"/>
              <w:jc w:val="both"/>
              <w:rPr>
                <w:rFonts w:ascii="Times New Roman" w:eastAsia="Calibri" w:hAnsi="Times New Roman" w:cs="Times New Roman"/>
                <w:bCs/>
                <w:lang w:val="nl-NL"/>
              </w:rPr>
            </w:pPr>
            <w:r>
              <w:rPr>
                <w:rFonts w:ascii="Times New Roman" w:eastAsia="Calibri" w:hAnsi="Times New Roman" w:cs="Times New Roman"/>
              </w:rPr>
              <w:t xml:space="preserve">- </w:t>
            </w:r>
            <w:r w:rsidR="002F0227" w:rsidRPr="002F0227">
              <w:rPr>
                <w:rFonts w:ascii="Times New Roman" w:eastAsia="Calibri" w:hAnsi="Times New Roman" w:cs="Times New Roman"/>
                <w:bCs/>
                <w:lang w:val="nl-NL"/>
              </w:rPr>
              <w:t>Về việc thiết lập quỹ bảo hiểm hưu trí bổ sung</w:t>
            </w:r>
          </w:p>
          <w:p w:rsidR="002F0227" w:rsidRPr="002F0227" w:rsidRDefault="002F0227" w:rsidP="002F0227">
            <w:pPr>
              <w:autoSpaceDE w:val="0"/>
              <w:autoSpaceDN w:val="0"/>
              <w:adjustRightInd w:val="0"/>
              <w:spacing w:before="100" w:after="100" w:line="240" w:lineRule="auto"/>
              <w:jc w:val="both"/>
              <w:rPr>
                <w:rFonts w:ascii="Times New Roman" w:eastAsia="Calibri" w:hAnsi="Times New Roman" w:cs="Times New Roman"/>
                <w:iCs/>
                <w:lang w:val="nl-NL"/>
              </w:rPr>
            </w:pPr>
            <w:r>
              <w:rPr>
                <w:rFonts w:ascii="Times New Roman" w:eastAsia="Calibri" w:hAnsi="Times New Roman" w:cs="Times New Roman"/>
                <w:iCs/>
                <w:lang w:val="nl-NL"/>
              </w:rPr>
              <w:t>+</w:t>
            </w:r>
            <w:r w:rsidRPr="002F0227">
              <w:rPr>
                <w:rFonts w:ascii="Times New Roman" w:eastAsia="Calibri" w:hAnsi="Times New Roman" w:cs="Times New Roman"/>
                <w:iCs/>
                <w:lang w:val="nl-NL"/>
              </w:rPr>
              <w:t xml:space="preserve"> Kế thừa quy định tại Nghị định số 88, dự thảo Nghị định quy định việc thiết lập chương trình bảo hiểm hưu trí bổ sung theo mô hình quỹ căn cứ vào yêu cầu quản lý của doanh nghiệp quản lý quỹ bảo hiểm hưu trí bổ sung và nhu cầu của các đối tượng tham gia bảo hiểm hưu trí bổ sung. </w:t>
            </w:r>
          </w:p>
          <w:p w:rsidR="007C6E13" w:rsidRDefault="002F0227" w:rsidP="002F0227">
            <w:pPr>
              <w:autoSpaceDE w:val="0"/>
              <w:autoSpaceDN w:val="0"/>
              <w:adjustRightInd w:val="0"/>
              <w:spacing w:before="100" w:after="100" w:line="240" w:lineRule="auto"/>
              <w:jc w:val="both"/>
              <w:rPr>
                <w:rFonts w:ascii="Times New Roman" w:eastAsia="Calibri" w:hAnsi="Times New Roman" w:cs="Times New Roman"/>
                <w:iCs/>
                <w:lang w:val="nl-NL"/>
              </w:rPr>
            </w:pPr>
            <w:r>
              <w:rPr>
                <w:rFonts w:ascii="Times New Roman" w:eastAsia="Calibri" w:hAnsi="Times New Roman" w:cs="Times New Roman"/>
                <w:iCs/>
                <w:lang w:val="nl-NL"/>
              </w:rPr>
              <w:t xml:space="preserve">+ </w:t>
            </w:r>
            <w:r w:rsidRPr="002F0227">
              <w:rPr>
                <w:rFonts w:ascii="Times New Roman" w:eastAsia="Calibri" w:hAnsi="Times New Roman" w:cs="Times New Roman"/>
                <w:iCs/>
                <w:lang w:val="nl-NL"/>
              </w:rPr>
              <w:t>Khi triển khai chương trình bảo hiểm hưu trí bổ sung, ngoài việc công bố công khai thông tin về chương trình trên cổng thông tin điện tử của doanh nghiệp quản lý quỹ, doanh nghiệp quản lý quỹ cần xây dựng điều lệ quỹ bảo hiểm hưu trí trong chương trình</w:t>
            </w:r>
            <w:r>
              <w:rPr>
                <w:rFonts w:ascii="Times New Roman" w:eastAsia="Calibri" w:hAnsi="Times New Roman" w:cs="Times New Roman"/>
                <w:iCs/>
                <w:lang w:val="nl-NL"/>
              </w:rPr>
              <w:t>.</w:t>
            </w:r>
          </w:p>
          <w:p w:rsidR="002F0227" w:rsidRPr="002F0227" w:rsidRDefault="002F0227" w:rsidP="002F0227">
            <w:pPr>
              <w:autoSpaceDE w:val="0"/>
              <w:autoSpaceDN w:val="0"/>
              <w:adjustRightInd w:val="0"/>
              <w:spacing w:before="100" w:after="100" w:line="240" w:lineRule="auto"/>
              <w:jc w:val="both"/>
              <w:rPr>
                <w:rFonts w:ascii="Times New Roman" w:eastAsia="Calibri" w:hAnsi="Times New Roman" w:cs="Times New Roman"/>
                <w:iCs/>
                <w:lang w:val="nl-NL"/>
              </w:rPr>
            </w:pPr>
            <w:r>
              <w:rPr>
                <w:rFonts w:ascii="Times New Roman" w:eastAsia="Calibri" w:hAnsi="Times New Roman" w:cs="Times New Roman"/>
              </w:rPr>
              <w:t xml:space="preserve">- </w:t>
            </w:r>
            <w:r w:rsidRPr="002F0227">
              <w:rPr>
                <w:rFonts w:ascii="Times New Roman" w:eastAsia="Calibri" w:hAnsi="Times New Roman" w:cs="Times New Roman"/>
                <w:iCs/>
                <w:lang w:val="nl-NL"/>
              </w:rPr>
              <w:t>Đối với việc quản lý quỹ, tương tự cơ chế triển khai hiện nay, doanh nghiệp sử dụng lao động và người lao động ký hợp đồng tham gia bảo hiểm hưu trí bổ sung; người lao động tham gia sẽ được sở hữu tài khoản hưu trí cá nhân. Chi phí quản lý bảo hiểm hưu trí bổ sung được trích từ tài khoản hưu trí cá nhân. Để xác định giá trị của từng tài khoản hưu trí cá nhân, dự thảo Nghị định tiếp tục quy định cơ chế xác định giá trị tài sản ròng của quỹ và việc đền bù thiệt hại cho người tham gia.</w:t>
            </w:r>
          </w:p>
          <w:p w:rsidR="002F0227" w:rsidRPr="002F0227" w:rsidRDefault="002F0227" w:rsidP="002F0227">
            <w:pPr>
              <w:autoSpaceDE w:val="0"/>
              <w:autoSpaceDN w:val="0"/>
              <w:adjustRightInd w:val="0"/>
              <w:spacing w:before="100" w:after="100" w:line="240" w:lineRule="auto"/>
              <w:jc w:val="both"/>
              <w:rPr>
                <w:rFonts w:ascii="Times New Roman" w:eastAsia="Calibri" w:hAnsi="Times New Roman" w:cs="Times New Roman"/>
                <w:iCs/>
                <w:lang w:val="nl-NL"/>
              </w:rPr>
            </w:pPr>
            <w:r w:rsidRPr="002F0227">
              <w:rPr>
                <w:rFonts w:ascii="Times New Roman" w:eastAsia="Calibri" w:hAnsi="Times New Roman" w:cs="Times New Roman"/>
                <w:iCs/>
                <w:lang w:val="nl-NL"/>
              </w:rPr>
              <w:t xml:space="preserve">- Đối với việc quản lý đầu tư quỹ, kế thừa quy định tại Nghị định số 88, doanh nghiệp quản lý quỹ phải quy định cụ thể chính sách đầu tư (cơ cấu và tiêu chuẩn các tài sản đầu tư và quyết định việc đầu tư theo Điều lệ quỹ và chính sách đầu tư của quỹ. Dự thảo Nghị định quy định cụ thể về danh mục các tài sản mà quỹ được đầu tư và các hạn mức đầu tư đối với từng loại tài sản, nhóm tài sản đầu tư căn cứ mức độ rủi ro. </w:t>
            </w:r>
          </w:p>
          <w:p w:rsidR="002F0227" w:rsidRPr="002F0227" w:rsidRDefault="002F0227" w:rsidP="002F0227">
            <w:pPr>
              <w:autoSpaceDE w:val="0"/>
              <w:autoSpaceDN w:val="0"/>
              <w:adjustRightInd w:val="0"/>
              <w:spacing w:before="100" w:after="100" w:line="240" w:lineRule="auto"/>
              <w:jc w:val="both"/>
              <w:rPr>
                <w:rFonts w:ascii="Times New Roman" w:eastAsia="Calibri" w:hAnsi="Times New Roman" w:cs="Times New Roman"/>
              </w:rPr>
            </w:pPr>
            <w:r w:rsidRPr="002F0227">
              <w:rPr>
                <w:rFonts w:ascii="Times New Roman" w:eastAsia="Calibri" w:hAnsi="Times New Roman" w:cs="Times New Roman"/>
              </w:rPr>
              <w:t xml:space="preserve">- Theo nguyên tắc thị trường tại Nghị quyết số 28, số tiền chi trả bảo hiểm hưu trí bổ sung dựa trên số dư tài khoản hưu trí cá nhân tại thời điểm chi trả. Nhà nước không đảm bảo về số tiền chi trả bảo hiểm hưu trí bổ sung. Mức đóng do người tham gia tự nguyện thỏa thuận trước khi ký hợp đồng tham gia quỹ. Nguyên tắc chi trả từ tài khoản hưu trí cá nhân tại dự thảo Nghị định được kế thừa từ quy định tại Nghị định số 88. </w:t>
            </w:r>
          </w:p>
          <w:p w:rsidR="002F0227" w:rsidRPr="00932837" w:rsidRDefault="002F0227" w:rsidP="002F0227">
            <w:pPr>
              <w:autoSpaceDE w:val="0"/>
              <w:autoSpaceDN w:val="0"/>
              <w:adjustRightInd w:val="0"/>
              <w:spacing w:before="100" w:after="100" w:line="240" w:lineRule="auto"/>
              <w:jc w:val="both"/>
              <w:rPr>
                <w:rFonts w:ascii="Times New Roman" w:eastAsia="Calibri" w:hAnsi="Times New Roman" w:cs="Times New Roman"/>
              </w:rPr>
            </w:pPr>
            <w:r w:rsidRPr="002F0227">
              <w:rPr>
                <w:rFonts w:ascii="Times New Roman" w:eastAsia="Calibri" w:hAnsi="Times New Roman" w:cs="Times New Roman"/>
              </w:rPr>
              <w:t>- Doanh nghiệp quản lý quỹ bảo hiểm hưu trí bổ sung chi trả cho người tham gia bảo hiểm hưu trí bổ sung căn cứ hợp đồng tham gia và văn bản thỏa thuận giữa người lao động và người sử dụng lao động. Trong trường hợp người lao động chưa đáp ứng điều kiện nhận chi trả theo văn bản thỏa thuận, dự thảo Nghị định quy định người sử dụng lao động được nhận hoàn trả từ tài khoản hưu trí cá nhân của người lao động đối với phần đóng góp của người sử dụng lao động, bao gồm kết quả đầu tư và chi phí hoạt động đã phân bổ.</w:t>
            </w:r>
          </w:p>
        </w:tc>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rsidR="00D6626E" w:rsidRPr="00D6626E" w:rsidRDefault="00D6626E" w:rsidP="007C6E13">
            <w:pPr>
              <w:autoSpaceDE w:val="0"/>
              <w:autoSpaceDN w:val="0"/>
              <w:adjustRightInd w:val="0"/>
              <w:spacing w:before="120"/>
              <w:jc w:val="both"/>
              <w:rPr>
                <w:rFonts w:ascii="Times New Roman" w:eastAsia="Calibri" w:hAnsi="Times New Roman" w:cs="Times New Roman"/>
              </w:rPr>
            </w:pPr>
            <w:r w:rsidRPr="00D6626E">
              <w:rPr>
                <w:rFonts w:ascii="Times New Roman" w:eastAsia="Calibri" w:hAnsi="Times New Roman" w:cs="Times New Roman"/>
              </w:rPr>
              <w:t xml:space="preserve">Luật BHXH năm 2024 đã quy định một chương về bảo hiểm hưu trí bổ sung bao gồm các nội dung về: (i) đối tượng tham gia, (ii) nguyên tắc triển khai, (iii) quỹ bảo hiểm hưu trí bổ sung, và (iv) chính sách của Nhà nước đối với bảo hiểm hưu trí bổ sung. Luật BHXH năm 2024 giao Chính phủ </w:t>
            </w:r>
            <w:r w:rsidRPr="00D6626E">
              <w:rPr>
                <w:rFonts w:ascii="Times New Roman" w:eastAsia="Calibri" w:hAnsi="Times New Roman" w:cs="Times New Roman"/>
                <w:i/>
              </w:rPr>
              <w:t>quy định về bảo hiểm hưu trí bổ sung</w:t>
            </w:r>
            <w:r w:rsidRPr="00D6626E">
              <w:rPr>
                <w:rFonts w:ascii="Times New Roman" w:eastAsia="Calibri" w:hAnsi="Times New Roman" w:cs="Times New Roman"/>
              </w:rPr>
              <w:t xml:space="preserve"> (Khoản 3 Điều 127) và giao Bộ Tài chính </w:t>
            </w:r>
            <w:r w:rsidRPr="00D6626E">
              <w:rPr>
                <w:rFonts w:ascii="Times New Roman" w:eastAsia="Calibri" w:hAnsi="Times New Roman" w:cs="Times New Roman"/>
                <w:i/>
              </w:rPr>
              <w:t>xây dựng, trình cấp có thẩm quyền ban hành hoặc ban hành theo thẩm quyền chính sách, pháp luật về bảo hiểm hưu trí bổ sung; chỉ đạo, hướng dẫn tổ chức triển khai thực hiện chính sách, pháp luật về bảo hiểm hưu trí bổ sung; theo dõi, đánh giá, thanh tra, kiểm tra tình hình thực hiện bảo hiểm hưu trí bổ sung; xử lý vi phạm pháp luật và giải quyết khiếu nại, tố cáo về bảo hiểm hưu trí bổ sung; thực hiện công tác thống kê, thông tin về bảo hiểm hưu trí bổ sung</w:t>
            </w:r>
            <w:r w:rsidRPr="00D6626E">
              <w:rPr>
                <w:rFonts w:ascii="Times New Roman" w:eastAsia="Calibri" w:hAnsi="Times New Roman" w:cs="Times New Roman"/>
              </w:rPr>
              <w:t xml:space="preserve"> (Khoản 6 Điều 137). </w:t>
            </w:r>
          </w:p>
          <w:p w:rsidR="00932837" w:rsidRPr="00932837" w:rsidRDefault="00932837" w:rsidP="007C6E13">
            <w:pPr>
              <w:autoSpaceDE w:val="0"/>
              <w:autoSpaceDN w:val="0"/>
              <w:adjustRightInd w:val="0"/>
              <w:spacing w:before="120"/>
              <w:jc w:val="both"/>
              <w:rPr>
                <w:rFonts w:ascii="Times New Roman" w:eastAsia="Calibri" w:hAnsi="Times New Roman" w:cs="Times New Roman"/>
              </w:rPr>
            </w:pPr>
          </w:p>
        </w:tc>
        <w:tc>
          <w:tcPr>
            <w:tcW w:w="1177" w:type="pct"/>
            <w:tcBorders>
              <w:top w:val="single" w:sz="4" w:space="0" w:color="auto"/>
              <w:left w:val="single" w:sz="4" w:space="0" w:color="auto"/>
              <w:bottom w:val="single" w:sz="4" w:space="0" w:color="auto"/>
              <w:right w:val="single" w:sz="4" w:space="0" w:color="auto"/>
            </w:tcBorders>
            <w:shd w:val="clear" w:color="auto" w:fill="FFFFFF"/>
            <w:vAlign w:val="center"/>
          </w:tcPr>
          <w:p w:rsidR="00932837" w:rsidRPr="00932837" w:rsidRDefault="002F0227" w:rsidP="007C6E13">
            <w:pPr>
              <w:autoSpaceDE w:val="0"/>
              <w:autoSpaceDN w:val="0"/>
              <w:adjustRightInd w:val="0"/>
              <w:spacing w:before="120"/>
              <w:jc w:val="both"/>
              <w:rPr>
                <w:rFonts w:ascii="Times New Roman" w:eastAsia="Calibri" w:hAnsi="Times New Roman" w:cs="Times New Roman"/>
              </w:rPr>
            </w:pPr>
            <w:r>
              <w:rPr>
                <w:rFonts w:ascii="Times New Roman" w:eastAsia="Calibri" w:hAnsi="Times New Roman" w:cs="Times New Roman"/>
              </w:rPr>
              <w:t>Nội dung chính sách tại dự thảo Nghị định bám sát các quy định về nguyên tắc bảo hiểm hưu trí bổ sung tại Luật BHXH năm 2024.</w:t>
            </w:r>
          </w:p>
        </w:tc>
        <w:tc>
          <w:tcPr>
            <w:tcW w:w="1195" w:type="pct"/>
            <w:tcBorders>
              <w:top w:val="single" w:sz="4" w:space="0" w:color="auto"/>
              <w:left w:val="single" w:sz="4" w:space="0" w:color="auto"/>
              <w:bottom w:val="single" w:sz="4" w:space="0" w:color="auto"/>
              <w:right w:val="single" w:sz="4" w:space="0" w:color="auto"/>
            </w:tcBorders>
            <w:shd w:val="clear" w:color="auto" w:fill="FFFFFF"/>
            <w:vAlign w:val="center"/>
          </w:tcPr>
          <w:p w:rsidR="00932837" w:rsidRPr="00932837" w:rsidRDefault="00932837" w:rsidP="007C6E13">
            <w:pPr>
              <w:autoSpaceDE w:val="0"/>
              <w:autoSpaceDN w:val="0"/>
              <w:adjustRightInd w:val="0"/>
              <w:spacing w:before="120"/>
              <w:jc w:val="both"/>
              <w:rPr>
                <w:rFonts w:ascii="Times New Roman" w:eastAsia="Calibri" w:hAnsi="Times New Roman" w:cs="Times New Roman"/>
              </w:rPr>
            </w:pPr>
          </w:p>
        </w:tc>
      </w:tr>
      <w:tr w:rsidR="00CB4BAD" w:rsidRPr="00932837" w:rsidTr="002F0227">
        <w:tc>
          <w:tcPr>
            <w:tcW w:w="1221" w:type="pct"/>
            <w:tcBorders>
              <w:top w:val="single" w:sz="4" w:space="0" w:color="auto"/>
              <w:left w:val="single" w:sz="4" w:space="0" w:color="auto"/>
              <w:bottom w:val="single" w:sz="4" w:space="0" w:color="auto"/>
              <w:right w:val="single" w:sz="4" w:space="0" w:color="auto"/>
            </w:tcBorders>
            <w:shd w:val="clear" w:color="auto" w:fill="FFFFFF"/>
            <w:vAlign w:val="center"/>
          </w:tcPr>
          <w:p w:rsidR="00CB4BAD" w:rsidRPr="007C6E13" w:rsidRDefault="00CB4BAD" w:rsidP="002F0227">
            <w:pPr>
              <w:autoSpaceDE w:val="0"/>
              <w:autoSpaceDN w:val="0"/>
              <w:adjustRightInd w:val="0"/>
              <w:spacing w:before="100" w:after="100" w:line="240" w:lineRule="auto"/>
              <w:jc w:val="both"/>
              <w:rPr>
                <w:rFonts w:ascii="Times New Roman" w:eastAsia="Calibri" w:hAnsi="Times New Roman" w:cs="Times New Roman"/>
              </w:rPr>
            </w:pPr>
            <w:r>
              <w:rPr>
                <w:rFonts w:ascii="Times New Roman" w:eastAsia="Calibri" w:hAnsi="Times New Roman" w:cs="Times New Roman"/>
              </w:rPr>
              <w:t>Quy định về điều kiện cấp Giấy chứng nhận đủ điều kiện kinh doanh dịch vụ quản lý quỹ bảo hiểm hưu trí bổ sung</w:t>
            </w:r>
            <w:r w:rsidR="00AE6B2A">
              <w:rPr>
                <w:rFonts w:ascii="Times New Roman" w:eastAsia="Calibri" w:hAnsi="Times New Roman" w:cs="Times New Roman"/>
              </w:rPr>
              <w:t>. Đồng thời làm rõ quy định về các thủ tục hành chính liên quan về (i) hồ sơ, (ii) quy trình thủ tục, (iii) cơ quan thực hiện; (iv) kết quả thủ tục hành chính</w:t>
            </w:r>
            <w:r w:rsidR="00672995">
              <w:rPr>
                <w:rFonts w:ascii="Times New Roman" w:eastAsia="Calibri" w:hAnsi="Times New Roman" w:cs="Times New Roman"/>
              </w:rPr>
              <w:t xml:space="preserve"> (cấp, cấp lại, điều chỉnh Giấy chứng nhận đủ điều kiện kinh doanh dịch vụ quản lý quỹ bảo hiểm hưu trí bổ sung.</w:t>
            </w:r>
          </w:p>
        </w:tc>
        <w:tc>
          <w:tcPr>
            <w:tcW w:w="1407" w:type="pct"/>
            <w:tcBorders>
              <w:top w:val="single" w:sz="4" w:space="0" w:color="auto"/>
              <w:left w:val="single" w:sz="4" w:space="0" w:color="auto"/>
              <w:bottom w:val="single" w:sz="4" w:space="0" w:color="auto"/>
              <w:right w:val="single" w:sz="4" w:space="0" w:color="auto"/>
            </w:tcBorders>
            <w:shd w:val="clear" w:color="auto" w:fill="FFFFFF"/>
            <w:vAlign w:val="center"/>
          </w:tcPr>
          <w:p w:rsidR="00A50452" w:rsidRDefault="000E719C" w:rsidP="00A50452">
            <w:pPr>
              <w:autoSpaceDE w:val="0"/>
              <w:autoSpaceDN w:val="0"/>
              <w:adjustRightInd w:val="0"/>
              <w:spacing w:before="120"/>
              <w:jc w:val="both"/>
              <w:rPr>
                <w:rFonts w:ascii="Times New Roman" w:eastAsia="Calibri" w:hAnsi="Times New Roman" w:cs="Times New Roman"/>
                <w:lang w:val="pt-BR"/>
              </w:rPr>
            </w:pPr>
            <w:r>
              <w:rPr>
                <w:rFonts w:ascii="Times New Roman" w:eastAsia="Calibri" w:hAnsi="Times New Roman" w:cs="Times New Roman"/>
                <w:lang w:val="pt-BR"/>
              </w:rPr>
              <w:t xml:space="preserve">Điều 7 Luật Đầu tư 2020 quy định </w:t>
            </w:r>
            <w:r w:rsidR="006F1A1D">
              <w:rPr>
                <w:rFonts w:ascii="Times New Roman" w:eastAsia="Calibri" w:hAnsi="Times New Roman" w:cs="Times New Roman"/>
                <w:lang w:val="pt-BR"/>
              </w:rPr>
              <w:t xml:space="preserve">điều kiện đầu tư kinh doanh có thể được quy định tại Nghị định của Chính phủ. </w:t>
            </w:r>
            <w:r w:rsidRPr="000E719C">
              <w:rPr>
                <w:rFonts w:ascii="Times New Roman" w:eastAsia="Calibri" w:hAnsi="Times New Roman" w:cs="Times New Roman"/>
                <w:lang w:val="pt-BR"/>
              </w:rPr>
              <w:t>Quy định về điều kiện đầu tư kinh doanh phải có các nội dung sau đây:</w:t>
            </w:r>
            <w:r w:rsidR="006F1A1D">
              <w:rPr>
                <w:rFonts w:ascii="Times New Roman" w:eastAsia="Calibri" w:hAnsi="Times New Roman" w:cs="Times New Roman"/>
                <w:lang w:val="pt-BR"/>
              </w:rPr>
              <w:t xml:space="preserve"> (i) </w:t>
            </w:r>
            <w:r w:rsidRPr="000E719C">
              <w:rPr>
                <w:rFonts w:ascii="Times New Roman" w:eastAsia="Calibri" w:hAnsi="Times New Roman" w:cs="Times New Roman"/>
                <w:lang w:val="pt-BR"/>
              </w:rPr>
              <w:t>Đối tượng và phạm vi áp dụng điều kiện đầu tư kinh doanh;</w:t>
            </w:r>
            <w:r w:rsidR="006F1A1D">
              <w:rPr>
                <w:rFonts w:ascii="Times New Roman" w:eastAsia="Calibri" w:hAnsi="Times New Roman" w:cs="Times New Roman"/>
                <w:lang w:val="pt-BR"/>
              </w:rPr>
              <w:t xml:space="preserve"> (ii) </w:t>
            </w:r>
            <w:r w:rsidRPr="000E719C">
              <w:rPr>
                <w:rFonts w:ascii="Times New Roman" w:eastAsia="Calibri" w:hAnsi="Times New Roman" w:cs="Times New Roman"/>
                <w:lang w:val="pt-BR"/>
              </w:rPr>
              <w:t>Hình thức áp dụng điều kiện;</w:t>
            </w:r>
            <w:r w:rsidR="006F1A1D">
              <w:rPr>
                <w:rFonts w:ascii="Times New Roman" w:eastAsia="Calibri" w:hAnsi="Times New Roman" w:cs="Times New Roman"/>
                <w:lang w:val="pt-BR"/>
              </w:rPr>
              <w:t xml:space="preserve"> (iii)</w:t>
            </w:r>
            <w:r w:rsidRPr="000E719C">
              <w:rPr>
                <w:rFonts w:ascii="Times New Roman" w:eastAsia="Calibri" w:hAnsi="Times New Roman" w:cs="Times New Roman"/>
                <w:lang w:val="pt-BR"/>
              </w:rPr>
              <w:t xml:space="preserve"> Nội dung điều kiện đầu tư kinh doanh;</w:t>
            </w:r>
            <w:r w:rsidR="006F1A1D">
              <w:rPr>
                <w:rFonts w:ascii="Times New Roman" w:eastAsia="Calibri" w:hAnsi="Times New Roman" w:cs="Times New Roman"/>
                <w:lang w:val="pt-BR"/>
              </w:rPr>
              <w:t xml:space="preserve"> (iv) </w:t>
            </w:r>
            <w:r w:rsidRPr="000E719C">
              <w:rPr>
                <w:rFonts w:ascii="Times New Roman" w:eastAsia="Calibri" w:hAnsi="Times New Roman" w:cs="Times New Roman"/>
                <w:lang w:val="pt-BR"/>
              </w:rPr>
              <w:t>Hồ sơ, trình tự, thủ tục hành chính để tuân thủ điều kiện đầu tư kinh doanh (nếu có);</w:t>
            </w:r>
            <w:r w:rsidR="006F1A1D">
              <w:rPr>
                <w:rFonts w:ascii="Times New Roman" w:eastAsia="Calibri" w:hAnsi="Times New Roman" w:cs="Times New Roman"/>
                <w:lang w:val="pt-BR"/>
              </w:rPr>
              <w:t xml:space="preserve"> (v)</w:t>
            </w:r>
            <w:r w:rsidRPr="000E719C">
              <w:rPr>
                <w:rFonts w:ascii="Times New Roman" w:eastAsia="Calibri" w:hAnsi="Times New Roman" w:cs="Times New Roman"/>
                <w:lang w:val="pt-BR"/>
              </w:rPr>
              <w:t xml:space="preserve"> Cơ quan quản lý nhà nước, cơ quan có thẩm quyền giải quyết thủ tục hành chính đối với điều kiện đầ</w:t>
            </w:r>
            <w:r w:rsidR="006F1A1D">
              <w:rPr>
                <w:rFonts w:ascii="Times New Roman" w:eastAsia="Calibri" w:hAnsi="Times New Roman" w:cs="Times New Roman"/>
                <w:lang w:val="pt-BR"/>
              </w:rPr>
              <w:t>u tư kinh doanh; (vi</w:t>
            </w:r>
            <w:r w:rsidR="004F46D2">
              <w:rPr>
                <w:rFonts w:ascii="Times New Roman" w:eastAsia="Calibri" w:hAnsi="Times New Roman" w:cs="Times New Roman"/>
                <w:lang w:val="pt-BR"/>
              </w:rPr>
              <w:t>)</w:t>
            </w:r>
            <w:r w:rsidRPr="000E719C">
              <w:rPr>
                <w:rFonts w:ascii="Times New Roman" w:eastAsia="Calibri" w:hAnsi="Times New Roman" w:cs="Times New Roman"/>
                <w:lang w:val="pt-BR"/>
              </w:rPr>
              <w:t xml:space="preserve"> Thời hạn có hiệu lực của giấy phép, giấy chứng nhận, chứng chỉ hoặc văn bản xác nhận, chấp thuận khác (nếu có).</w:t>
            </w:r>
            <w:r w:rsidR="004F46D2">
              <w:rPr>
                <w:rFonts w:ascii="Times New Roman" w:eastAsia="Calibri" w:hAnsi="Times New Roman" w:cs="Times New Roman"/>
                <w:lang w:val="pt-BR"/>
              </w:rPr>
              <w:t xml:space="preserve"> </w:t>
            </w:r>
            <w:r w:rsidRPr="000E719C">
              <w:rPr>
                <w:rFonts w:ascii="Times New Roman" w:eastAsia="Calibri" w:hAnsi="Times New Roman" w:cs="Times New Roman"/>
                <w:lang w:val="pt-BR"/>
              </w:rPr>
              <w:t>Điều kiện đầu tư kinh doanh được áp dụng theo hình thức Giấy chứng nhận</w:t>
            </w:r>
            <w:r w:rsidR="00A50452">
              <w:rPr>
                <w:rFonts w:ascii="Times New Roman" w:eastAsia="Calibri" w:hAnsi="Times New Roman" w:cs="Times New Roman"/>
                <w:lang w:val="pt-BR"/>
              </w:rPr>
              <w:t xml:space="preserve">. </w:t>
            </w:r>
          </w:p>
          <w:p w:rsidR="00CB4BAD" w:rsidRPr="00D6626E" w:rsidRDefault="00BA5C39" w:rsidP="00A50452">
            <w:pPr>
              <w:autoSpaceDE w:val="0"/>
              <w:autoSpaceDN w:val="0"/>
              <w:adjustRightInd w:val="0"/>
              <w:spacing w:before="120"/>
              <w:jc w:val="both"/>
              <w:rPr>
                <w:rFonts w:ascii="Times New Roman" w:eastAsia="Calibri" w:hAnsi="Times New Roman" w:cs="Times New Roman"/>
              </w:rPr>
            </w:pPr>
            <w:r w:rsidRPr="00BA5C39">
              <w:rPr>
                <w:rFonts w:ascii="Times New Roman" w:eastAsia="Calibri" w:hAnsi="Times New Roman" w:cs="Times New Roman"/>
                <w:lang w:val="pt-BR"/>
              </w:rPr>
              <w:t>Tại Phụ lục IV ban hành kèm theo Luật Đầu tư năm 2020 (số thứ tự 37), “</w:t>
            </w:r>
            <w:r w:rsidRPr="00BA5C39">
              <w:rPr>
                <w:rFonts w:ascii="Times New Roman" w:eastAsia="Calibri" w:hAnsi="Times New Roman" w:cs="Times New Roman"/>
                <w:i/>
                <w:lang w:val="pt-BR"/>
              </w:rPr>
              <w:t>kinh doanh dịch vụ quản lý quỹ hưu trí tự nguyện</w:t>
            </w:r>
            <w:r w:rsidRPr="00BA5C39">
              <w:rPr>
                <w:rFonts w:ascii="Times New Roman" w:eastAsia="Calibri" w:hAnsi="Times New Roman" w:cs="Times New Roman"/>
                <w:lang w:val="pt-BR"/>
              </w:rPr>
              <w:t>” là ngành, nghề đầu tư kinh doanh có điều kiện.</w:t>
            </w:r>
          </w:p>
        </w:tc>
        <w:tc>
          <w:tcPr>
            <w:tcW w:w="1177" w:type="pct"/>
            <w:tcBorders>
              <w:top w:val="single" w:sz="4" w:space="0" w:color="auto"/>
              <w:left w:val="single" w:sz="4" w:space="0" w:color="auto"/>
              <w:bottom w:val="single" w:sz="4" w:space="0" w:color="auto"/>
              <w:right w:val="single" w:sz="4" w:space="0" w:color="auto"/>
            </w:tcBorders>
            <w:shd w:val="clear" w:color="auto" w:fill="FFFFFF"/>
            <w:vAlign w:val="center"/>
          </w:tcPr>
          <w:p w:rsidR="00CB4BAD" w:rsidRDefault="004F46D2" w:rsidP="007C6E13">
            <w:pPr>
              <w:autoSpaceDE w:val="0"/>
              <w:autoSpaceDN w:val="0"/>
              <w:adjustRightInd w:val="0"/>
              <w:spacing w:before="120"/>
              <w:jc w:val="both"/>
              <w:rPr>
                <w:rFonts w:ascii="Times New Roman" w:eastAsia="Calibri" w:hAnsi="Times New Roman" w:cs="Times New Roman"/>
              </w:rPr>
            </w:pPr>
            <w:r>
              <w:rPr>
                <w:rFonts w:ascii="Times New Roman" w:eastAsia="Calibri" w:hAnsi="Times New Roman" w:cs="Times New Roman"/>
              </w:rPr>
              <w:t xml:space="preserve">Kế thừa quy định tại Nghị định số 88, dự thảo </w:t>
            </w:r>
            <w:r w:rsidR="004C3C53">
              <w:rPr>
                <w:rFonts w:ascii="Times New Roman" w:eastAsia="Calibri" w:hAnsi="Times New Roman" w:cs="Times New Roman"/>
              </w:rPr>
              <w:t>đã quy định đầy đủ điều kiện và các nội dung của điều kiện đầu tư kinh doanh dịch vụ quản lý quỹ bảo hiểm hưu trí bổ sung và thủ tục cấp, cấp lại, điều chỉnh Giấy chứng nhận đủ điều kiện kinh doanh dịch vụ quản lý quỹ bảo hiểm hưu trí bổ sung</w:t>
            </w:r>
          </w:p>
        </w:tc>
        <w:tc>
          <w:tcPr>
            <w:tcW w:w="1195" w:type="pct"/>
            <w:tcBorders>
              <w:top w:val="single" w:sz="4" w:space="0" w:color="auto"/>
              <w:left w:val="single" w:sz="4" w:space="0" w:color="auto"/>
              <w:bottom w:val="single" w:sz="4" w:space="0" w:color="auto"/>
              <w:right w:val="single" w:sz="4" w:space="0" w:color="auto"/>
            </w:tcBorders>
            <w:shd w:val="clear" w:color="auto" w:fill="FFFFFF"/>
            <w:vAlign w:val="center"/>
          </w:tcPr>
          <w:p w:rsidR="00CB4BAD" w:rsidRPr="00932837" w:rsidRDefault="00CB4BAD" w:rsidP="007C6E13">
            <w:pPr>
              <w:autoSpaceDE w:val="0"/>
              <w:autoSpaceDN w:val="0"/>
              <w:adjustRightInd w:val="0"/>
              <w:spacing w:before="120"/>
              <w:jc w:val="both"/>
              <w:rPr>
                <w:rFonts w:ascii="Times New Roman" w:eastAsia="Calibri" w:hAnsi="Times New Roman" w:cs="Times New Roman"/>
              </w:rPr>
            </w:pPr>
          </w:p>
        </w:tc>
      </w:tr>
    </w:tbl>
    <w:p w:rsidR="00932837" w:rsidRDefault="00932837" w:rsidP="00932837">
      <w:pPr>
        <w:autoSpaceDE w:val="0"/>
        <w:autoSpaceDN w:val="0"/>
        <w:adjustRightInd w:val="0"/>
        <w:spacing w:before="120"/>
        <w:rPr>
          <w:rFonts w:ascii="Times New Roman" w:eastAsia="Calibri" w:hAnsi="Times New Roman" w:cs="Times New Roman"/>
          <w:b/>
          <w:bCs/>
          <w:sz w:val="28"/>
        </w:rPr>
      </w:pPr>
      <w:r w:rsidRPr="00932837">
        <w:rPr>
          <w:rFonts w:ascii="Times New Roman" w:eastAsia="Calibri" w:hAnsi="Times New Roman" w:cs="Times New Roman"/>
          <w:b/>
          <w:bCs/>
          <w:sz w:val="28"/>
        </w:rPr>
        <w:t>3. Điều ước quốc tế có liên quan đến chính sách/dự thảo</w:t>
      </w:r>
    </w:p>
    <w:p w:rsidR="007C6E13" w:rsidRPr="007C6E13" w:rsidRDefault="007C6E13" w:rsidP="007C6E13">
      <w:pPr>
        <w:autoSpaceDE w:val="0"/>
        <w:autoSpaceDN w:val="0"/>
        <w:adjustRightInd w:val="0"/>
        <w:spacing w:before="120"/>
        <w:jc w:val="both"/>
        <w:rPr>
          <w:rFonts w:ascii="Times New Roman" w:eastAsia="Calibri" w:hAnsi="Times New Roman" w:cs="Times New Roman"/>
          <w:sz w:val="28"/>
        </w:rPr>
      </w:pPr>
      <w:r w:rsidRPr="007C6E13">
        <w:rPr>
          <w:rFonts w:ascii="Times New Roman" w:eastAsia="Calibri" w:hAnsi="Times New Roman" w:cs="Times New Roman"/>
          <w:sz w:val="28"/>
        </w:rPr>
        <w:t>Các chính sách về bảo hiểm hưu trí bổ sung được xây dựng trên định hướng phát triển hệ thống bảo hiểm xã hội, hệ thống hưu trí đa tầng phù hợp với xu hướng chung của quốc tế. Theo đó, không có nội dung không tương thích với các điều ước quốc tế mà Việt Nam tham gia.</w:t>
      </w:r>
    </w:p>
    <w:sectPr w:rsidR="007C6E13" w:rsidRPr="007C6E13" w:rsidSect="00BC59C3">
      <w:headerReference w:type="default" r:id="rId9"/>
      <w:pgSz w:w="16840" w:h="11907" w:orient="landscape" w:code="9"/>
      <w:pgMar w:top="1699" w:right="1138" w:bottom="1138" w:left="1138" w:header="0" w:footer="562"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C59C3" w:rsidRDefault="00BC59C3" w:rsidP="00C30D89">
      <w:pPr>
        <w:spacing w:after="0" w:line="240" w:lineRule="auto"/>
      </w:pPr>
      <w:r>
        <w:separator/>
      </w:r>
    </w:p>
  </w:endnote>
  <w:endnote w:type="continuationSeparator" w:id="0">
    <w:p w:rsidR="00BC59C3" w:rsidRDefault="00BC59C3" w:rsidP="00C30D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nCentury Schoolbook">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Aptos">
    <w:altName w:val="Arial"/>
    <w:charset w:val="00"/>
    <w:family w:val="swiss"/>
    <w:pitch w:val="variable"/>
    <w:sig w:usb0="00000001"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C59C3" w:rsidRDefault="00BC59C3" w:rsidP="00C30D89">
      <w:pPr>
        <w:spacing w:after="0" w:line="240" w:lineRule="auto"/>
      </w:pPr>
      <w:r>
        <w:separator/>
      </w:r>
    </w:p>
  </w:footnote>
  <w:footnote w:type="continuationSeparator" w:id="0">
    <w:p w:rsidR="00BC59C3" w:rsidRDefault="00BC59C3" w:rsidP="00C30D89">
      <w:pPr>
        <w:spacing w:after="0" w:line="240" w:lineRule="auto"/>
      </w:pPr>
      <w:r>
        <w:continuationSeparator/>
      </w:r>
    </w:p>
  </w:footnote>
  <w:footnote w:id="1">
    <w:p w:rsidR="00BC59C3" w:rsidRPr="00261E95" w:rsidRDefault="00BC59C3" w:rsidP="00A70CEE">
      <w:pPr>
        <w:pStyle w:val="FootnoteText"/>
        <w:spacing w:before="40" w:after="40"/>
        <w:jc w:val="both"/>
        <w:rPr>
          <w:rFonts w:ascii="Times New Roman" w:hAnsi="Times New Roman"/>
          <w:sz w:val="20"/>
        </w:rPr>
      </w:pPr>
      <w:r w:rsidRPr="00261E95">
        <w:rPr>
          <w:rStyle w:val="FootnoteReference"/>
          <w:rFonts w:ascii="Times New Roman" w:hAnsi="Times New Roman"/>
          <w:sz w:val="20"/>
        </w:rPr>
        <w:footnoteRef/>
      </w:r>
      <w:r w:rsidRPr="00261E95">
        <w:rPr>
          <w:rFonts w:ascii="Times New Roman" w:hAnsi="Times New Roman"/>
          <w:sz w:val="20"/>
        </w:rPr>
        <w:t xml:space="preserve"> Sự sụt giảm của thị trường chứng khoán và trái phiếu khiến tài sản của các quỹ hưu trí toàn cầu giảm 5,9% trong năm 2022, từ 22.100 tỷ USD xuống 20.800 tỷ USD. Tại Anh, ước tính tổng giá trị tài sản của 5.100 quỹ hưu trí trong năm 2022 giảm 24% từ 1,79 nghìn tỷ GBP xuống 1,36 nghìn tỷ GBP, tương đương với mức giảm 425 tỷ bảng Anh (gần 550 tỷ USD). Quỹ hưu trí toàn cầu chính phủ Na Uy (GPFG), quỹ đầu tư quốc gia lớn nhất thế giới, thua lỗ kỷ lục 164,4 tỷ USD trong năm 2022. Quỹ hưu trí tư nhân ATP của Đan Mạch giảm 45% giá trị tài sản trong năm 2022, gây thua lỗ 34 tỷ USD cho những người hưu trí. </w:t>
      </w:r>
    </w:p>
  </w:footnote>
  <w:footnote w:id="2">
    <w:p w:rsidR="00BC59C3" w:rsidRPr="00261E95" w:rsidRDefault="00BC59C3" w:rsidP="00A70CEE">
      <w:pPr>
        <w:pStyle w:val="FootnoteText"/>
        <w:spacing w:before="40" w:after="40"/>
        <w:jc w:val="both"/>
        <w:rPr>
          <w:rFonts w:ascii="Times New Roman" w:hAnsi="Times New Roman"/>
          <w:sz w:val="20"/>
        </w:rPr>
      </w:pPr>
      <w:r w:rsidRPr="00261E95">
        <w:rPr>
          <w:rStyle w:val="FootnoteReference"/>
          <w:rFonts w:ascii="Times New Roman" w:hAnsi="Times New Roman"/>
          <w:sz w:val="20"/>
        </w:rPr>
        <w:footnoteRef/>
      </w:r>
      <w:r w:rsidRPr="00261E95">
        <w:rPr>
          <w:rFonts w:ascii="Times New Roman" w:hAnsi="Times New Roman"/>
          <w:sz w:val="20"/>
        </w:rPr>
        <w:t xml:space="preserve"> </w:t>
      </w:r>
      <w:r w:rsidRPr="00261E95">
        <w:rPr>
          <w:rFonts w:ascii="Times New Roman" w:hAnsi="Times New Roman"/>
          <w:sz w:val="20"/>
          <w:lang w:val="nl-NL"/>
        </w:rPr>
        <w:t>Trong bối cảnh lạm phát ở mức cao, đặc biệt kể từ sau đại dịch Covid-19, nhiều ngân hàng trung ương thực hiện chính sách tiền tệ thắt chặt, chính phủ nhiều nước tăng vay nợ khiến lợi suất trái phiếu chính phủ tăng cao, giá trái phiếu chính phủ giảm mạnh. Việc này đ</w:t>
      </w:r>
      <w:r w:rsidRPr="00261E95">
        <w:rPr>
          <w:rFonts w:ascii="Times New Roman" w:hAnsi="Times New Roman"/>
          <w:sz w:val="20"/>
        </w:rPr>
        <w:t xml:space="preserve">ã khiến </w:t>
      </w:r>
      <w:r w:rsidRPr="00261E95">
        <w:rPr>
          <w:rFonts w:ascii="Times New Roman" w:hAnsi="Times New Roman"/>
          <w:sz w:val="20"/>
          <w:lang w:val="nl-NL"/>
        </w:rPr>
        <w:t xml:space="preserve">giá trị tổng tài sản của nhiều quỹ hưu trí giảm mạnh do trái phiếu chính phủ </w:t>
      </w:r>
      <w:r w:rsidRPr="00261E95">
        <w:rPr>
          <w:rFonts w:ascii="Times New Roman" w:hAnsi="Times New Roman"/>
          <w:sz w:val="20"/>
        </w:rPr>
        <w:t>là tài sản đầu tư an toàn và chiếm tỷ trọng lớn</w:t>
      </w:r>
      <w:r w:rsidRPr="00261E95">
        <w:rPr>
          <w:rFonts w:ascii="Times New Roman" w:hAnsi="Times New Roman"/>
          <w:sz w:val="20"/>
          <w:lang w:val="nl-NL"/>
        </w:rPr>
        <w:t xml:space="preserve"> của các quỹ. </w:t>
      </w:r>
      <w:r w:rsidRPr="00261E95">
        <w:rPr>
          <w:rFonts w:ascii="Times New Roman" w:hAnsi="Times New Roman"/>
          <w:b/>
          <w:sz w:val="20"/>
        </w:rPr>
        <w:t>Tại Anh,</w:t>
      </w:r>
      <w:r w:rsidRPr="00261E95">
        <w:rPr>
          <w:rFonts w:ascii="Times New Roman" w:hAnsi="Times New Roman"/>
          <w:sz w:val="20"/>
        </w:rPr>
        <w:t xml:space="preserve"> việc Chính phủ công bố kế hoạch tăng vay nợ gắn liền với các chính sách giảm thuế trong năm 2022 đã khiến nhà đầu tư bán tháo trái phiếu chính phủ, khiến lợi suất tăng mạnh nhất trong lịch sự. Trước suy giảm của thị trường trái phiếu và chứng khoán, các quỹ phải tăng giá trị thế chấp cho các biện pháp ký quỹ, phòng ngừa rủi ro thông qua việc bán tài sản của quỹ, bao gồm cả trái phiếu chính phủ, gây ra làn sóng bán tháo trái phiếu chính phủ và tiếp tục đẩy lợi suất trái phiếu chính phủ tăng cao. Để ứng phó với nguy cơ bất ổn tài chính lan rộng, Ngân hàng trung ương Anh đã phải can thiệp thị trường khẩn cấp bằng cam kết mua vào 73 tỷ USD (tương đương 1,8 triệu tỷ VND) trái phiếu chính phủ để ngăn tình trạng giảm giá trị của quỹ hưu trí, ổn định tâm lý người dân.</w:t>
      </w:r>
    </w:p>
  </w:footnote>
  <w:footnote w:id="3">
    <w:p w:rsidR="00BC59C3" w:rsidRPr="00261E95" w:rsidRDefault="00BC59C3" w:rsidP="00817117">
      <w:pPr>
        <w:pStyle w:val="FootnoteText"/>
        <w:jc w:val="both"/>
        <w:rPr>
          <w:rFonts w:ascii="Times New Roman" w:hAnsi="Times New Roman"/>
          <w:sz w:val="20"/>
          <w:szCs w:val="20"/>
        </w:rPr>
      </w:pPr>
      <w:r w:rsidRPr="00261E95">
        <w:rPr>
          <w:rStyle w:val="FootnoteReference"/>
          <w:rFonts w:ascii="Times New Roman" w:hAnsi="Times New Roman"/>
          <w:sz w:val="20"/>
          <w:szCs w:val="20"/>
        </w:rPr>
        <w:footnoteRef/>
      </w:r>
      <w:r w:rsidRPr="00261E95">
        <w:rPr>
          <w:rFonts w:ascii="Times New Roman" w:hAnsi="Times New Roman"/>
          <w:sz w:val="20"/>
          <w:szCs w:val="20"/>
        </w:rPr>
        <w:t xml:space="preserve"> Công văn số 9597/BTC-HCSN ngày 08/9/2023 và Công văn số 5025/BTC-TCNH ngày 18/5/2023 tham gia ý kiến với Bộ Lao động-Thương binh và Xã hội về đánh giá triển khai Luật BHXH năm 2014</w:t>
      </w:r>
    </w:p>
  </w:footnote>
  <w:footnote w:id="4">
    <w:p w:rsidR="00BC59C3" w:rsidRPr="00261E95" w:rsidRDefault="00BC59C3" w:rsidP="00817117">
      <w:pPr>
        <w:pStyle w:val="FootnoteText"/>
        <w:jc w:val="both"/>
        <w:rPr>
          <w:rFonts w:ascii="Times New Roman" w:hAnsi="Times New Roman"/>
          <w:sz w:val="20"/>
          <w:szCs w:val="20"/>
        </w:rPr>
      </w:pPr>
      <w:r w:rsidRPr="00261E95">
        <w:rPr>
          <w:rStyle w:val="FootnoteReference"/>
          <w:rFonts w:ascii="Times New Roman" w:hAnsi="Times New Roman"/>
          <w:sz w:val="20"/>
          <w:szCs w:val="20"/>
        </w:rPr>
        <w:footnoteRef/>
      </w:r>
      <w:r w:rsidRPr="00261E95">
        <w:rPr>
          <w:rFonts w:ascii="Times New Roman" w:hAnsi="Times New Roman"/>
          <w:sz w:val="20"/>
          <w:szCs w:val="20"/>
        </w:rPr>
        <w:t xml:space="preserve"> Công văn số 1803/BTC-HCSN ngày 20/02/2024 tham gia ý kiến với UBXH; Công văn số 4004/BTC-HCSN ngày 17/4/2024 có ý kiến về việc triển khai chính sách bảo hiểm hưu trí bổ sung tại dự thảo Luật BHXH (sửa đổi).</w:t>
      </w:r>
    </w:p>
  </w:footnote>
  <w:footnote w:id="5">
    <w:p w:rsidR="00BC59C3" w:rsidRPr="00261E95" w:rsidRDefault="00BC59C3" w:rsidP="00817117">
      <w:pPr>
        <w:pStyle w:val="FootnoteText"/>
        <w:jc w:val="both"/>
        <w:rPr>
          <w:rFonts w:ascii="Times New Roman" w:hAnsi="Times New Roman"/>
          <w:sz w:val="20"/>
          <w:szCs w:val="20"/>
        </w:rPr>
      </w:pPr>
      <w:r w:rsidRPr="00261E95">
        <w:rPr>
          <w:rStyle w:val="FootnoteReference"/>
          <w:rFonts w:ascii="Times New Roman" w:hAnsi="Times New Roman"/>
          <w:sz w:val="20"/>
          <w:szCs w:val="20"/>
        </w:rPr>
        <w:footnoteRef/>
      </w:r>
      <w:r w:rsidRPr="00261E95">
        <w:rPr>
          <w:rFonts w:ascii="Times New Roman" w:hAnsi="Times New Roman"/>
          <w:sz w:val="20"/>
          <w:szCs w:val="20"/>
        </w:rPr>
        <w:t xml:space="preserve"> Công văn số 2307/BTC-TCNH ngày 06/3/2024 gửi Bộ LĐTBXH và Công văn số 2776/BTC-TCNH ngày 19/3/2024 gửi Bảo hiểm Xã hội Việt Nam</w:t>
      </w:r>
    </w:p>
  </w:footnote>
  <w:footnote w:id="6">
    <w:p w:rsidR="00BC59C3" w:rsidRPr="00FF27D7" w:rsidRDefault="00BC59C3" w:rsidP="00313A8B">
      <w:pPr>
        <w:pStyle w:val="FootnoteText"/>
        <w:spacing w:before="40"/>
        <w:jc w:val="both"/>
        <w:rPr>
          <w:rFonts w:ascii="Times New Roman" w:hAnsi="Times New Roman"/>
        </w:rPr>
      </w:pPr>
      <w:r w:rsidRPr="00FE00FC">
        <w:rPr>
          <w:rStyle w:val="FootnoteReference"/>
          <w:rFonts w:ascii="Times New Roman" w:hAnsi="Times New Roman"/>
        </w:rPr>
        <w:footnoteRef/>
      </w:r>
      <w:r w:rsidRPr="00FE00FC">
        <w:rPr>
          <w:rFonts w:ascii="Times New Roman" w:hAnsi="Times New Roman"/>
        </w:rPr>
        <w:t xml:space="preserve"> </w:t>
      </w:r>
      <w:r w:rsidRPr="00FF27D7">
        <w:rPr>
          <w:rFonts w:ascii="Times New Roman" w:hAnsi="Times New Roman"/>
        </w:rPr>
        <w:t xml:space="preserve">Nghị định số </w:t>
      </w:r>
      <w:r w:rsidRPr="00A97A17">
        <w:rPr>
          <w:rFonts w:ascii="Times New Roman" w:hAnsi="Times New Roman"/>
        </w:rPr>
        <w:t>88/2016/NĐ-CP</w:t>
      </w:r>
      <w:r w:rsidRPr="00FF27D7">
        <w:rPr>
          <w:rFonts w:ascii="Times New Roman" w:hAnsi="Times New Roman"/>
        </w:rPr>
        <w:t xml:space="preserve"> (Điều 41) quy định: “</w:t>
      </w:r>
      <w:r w:rsidRPr="00FF27D7">
        <w:rPr>
          <w:rFonts w:ascii="Times New Roman" w:hAnsi="Times New Roman"/>
          <w:i/>
        </w:rPr>
        <w:t>Trường hợp doanh nghiệp quản lý quỹ hưu trí bị thu hồi Giấy chứng nhận đủ Điều kiện kinh doanh, Bộ Tài chính chỉ định một doanh nghiệp quản lý quỹ hưu trí khác tiếp nhận việc quản lý các quỹ hưu trí đang quản lý bởi doanh nghiệp quản lý quỹ hưu trí bị thu hồi Giấy chứng nhận đủ Điều kiện kinh doanh. Doanh nghiệp được chỉ định phải có Giấy chứng nhận đủ Điều kiện kinh doanh dịch vụ quản lý quỹ hưu trí và đang thực hiện quản lý tối thiểu 01 quỹ hưu trí.” “Người tham gia quỹ được lựa chọn tiếp tục tham gia quỹ hưu trí được quản lý bởi doanh nghiệp quản lý quỹ hưu trí theo chỉ định của Bộ Tài chính hoặc yêu cầu chuyển tài Khoản hưu trí cá nhân sang quỹ hưu trí quản lý bởi doanh nghiệp quản lý quỹ hưu trí khác</w:t>
      </w:r>
      <w:r w:rsidRPr="00FF27D7">
        <w:rPr>
          <w:rFonts w:ascii="Times New Roman" w:hAnsi="Times New Roman"/>
        </w:rPr>
        <w:t>.”</w:t>
      </w:r>
    </w:p>
  </w:footnote>
  <w:footnote w:id="7">
    <w:p w:rsidR="00BC59C3" w:rsidRDefault="00BC59C3" w:rsidP="00224D72">
      <w:pPr>
        <w:pStyle w:val="NormalWeb"/>
        <w:shd w:val="clear" w:color="auto" w:fill="FFFFFF"/>
        <w:spacing w:before="40" w:beforeAutospacing="0" w:after="40" w:afterAutospacing="0"/>
        <w:jc w:val="both"/>
        <w:rPr>
          <w:i/>
          <w:color w:val="000000"/>
          <w:sz w:val="20"/>
          <w:szCs w:val="20"/>
        </w:rPr>
      </w:pPr>
      <w:r>
        <w:rPr>
          <w:rStyle w:val="FootnoteReference"/>
          <w:sz w:val="20"/>
          <w:szCs w:val="20"/>
        </w:rPr>
        <w:footnoteRef/>
      </w:r>
      <w:r>
        <w:rPr>
          <w:sz w:val="20"/>
          <w:szCs w:val="20"/>
        </w:rPr>
        <w:t xml:space="preserve"> </w:t>
      </w:r>
      <w:r>
        <w:rPr>
          <w:sz w:val="20"/>
          <w:szCs w:val="20"/>
          <w:lang w:val="en-GB"/>
        </w:rPr>
        <w:t>Khoản 2 Điều 7 Nghị định số 88 quy định phương thức tham gia đóng góp bao gồm</w:t>
      </w:r>
      <w:r>
        <w:rPr>
          <w:i/>
          <w:sz w:val="20"/>
          <w:szCs w:val="20"/>
          <w:lang w:val="en-GB"/>
        </w:rPr>
        <w:t>: “</w:t>
      </w:r>
      <w:r>
        <w:rPr>
          <w:i/>
          <w:color w:val="000000"/>
          <w:sz w:val="20"/>
          <w:szCs w:val="20"/>
        </w:rPr>
        <w:t>2. Tham gia đóng góp trực tiếp chương trình hưu trí, bao gồm:</w:t>
      </w:r>
    </w:p>
    <w:p w:rsidR="00BC59C3" w:rsidRDefault="00BC59C3" w:rsidP="00224D72">
      <w:pPr>
        <w:pStyle w:val="NormalWeb"/>
        <w:shd w:val="clear" w:color="auto" w:fill="FFFFFF"/>
        <w:spacing w:before="40" w:beforeAutospacing="0" w:after="40" w:afterAutospacing="0"/>
        <w:jc w:val="both"/>
        <w:rPr>
          <w:i/>
          <w:color w:val="000000"/>
          <w:sz w:val="20"/>
          <w:szCs w:val="20"/>
        </w:rPr>
      </w:pPr>
      <w:r>
        <w:rPr>
          <w:i/>
          <w:color w:val="000000"/>
          <w:sz w:val="20"/>
          <w:szCs w:val="20"/>
        </w:rPr>
        <w:t>a) Người lao động đóng góp hoàn toàn vào quỹ hưu trí, không có sự đóng góp của người </w:t>
      </w:r>
      <w:r>
        <w:rPr>
          <w:i/>
          <w:color w:val="000000"/>
          <w:sz w:val="20"/>
          <w:szCs w:val="20"/>
          <w:shd w:val="clear" w:color="auto" w:fill="FFFFFF"/>
        </w:rPr>
        <w:t>sử dụng</w:t>
      </w:r>
      <w:r>
        <w:rPr>
          <w:i/>
          <w:color w:val="000000"/>
          <w:sz w:val="20"/>
          <w:szCs w:val="20"/>
        </w:rPr>
        <w:t> lao động;</w:t>
      </w:r>
    </w:p>
    <w:p w:rsidR="00BC59C3" w:rsidRDefault="00BC59C3" w:rsidP="00224D72">
      <w:pPr>
        <w:pStyle w:val="NormalWeb"/>
        <w:shd w:val="clear" w:color="auto" w:fill="FFFFFF"/>
        <w:spacing w:before="40" w:beforeAutospacing="0" w:after="40" w:afterAutospacing="0"/>
        <w:jc w:val="both"/>
        <w:rPr>
          <w:i/>
          <w:sz w:val="20"/>
          <w:szCs w:val="20"/>
          <w:lang w:val="en-GB"/>
        </w:rPr>
      </w:pPr>
      <w:r>
        <w:rPr>
          <w:i/>
          <w:color w:val="000000"/>
          <w:sz w:val="20"/>
          <w:szCs w:val="20"/>
        </w:rPr>
        <w:t>b) Cá nhân theo quy định tại </w:t>
      </w:r>
      <w:r w:rsidRPr="004F73F0">
        <w:rPr>
          <w:i/>
          <w:sz w:val="20"/>
          <w:szCs w:val="20"/>
        </w:rPr>
        <w:t>Khoản 3 Điều 6 Nghị định này</w:t>
      </w:r>
      <w:r>
        <w:rPr>
          <w:i/>
          <w:color w:val="000000"/>
          <w:sz w:val="20"/>
          <w:szCs w:val="20"/>
        </w:rPr>
        <w:t> đóng góp vào quỹ hưu trí.”</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378132"/>
      <w:docPartObj>
        <w:docPartGallery w:val="Page Numbers (Top of Page)"/>
        <w:docPartUnique/>
      </w:docPartObj>
    </w:sdtPr>
    <w:sdtContent>
      <w:p w:rsidR="00BC59C3" w:rsidRDefault="00BC59C3">
        <w:pPr>
          <w:pStyle w:val="Header"/>
          <w:jc w:val="center"/>
          <w:rPr>
            <w:lang w:val="vi-VN"/>
          </w:rPr>
        </w:pPr>
      </w:p>
      <w:p w:rsidR="00BC59C3" w:rsidRDefault="00BC59C3">
        <w:pPr>
          <w:pStyle w:val="Header"/>
          <w:jc w:val="center"/>
          <w:rPr>
            <w:lang w:val="vi-VN"/>
          </w:rPr>
        </w:pPr>
      </w:p>
      <w:p w:rsidR="00BC59C3" w:rsidRDefault="00CD12A1">
        <w:pPr>
          <w:pStyle w:val="Header"/>
          <w:jc w:val="center"/>
        </w:pPr>
        <w:fldSimple w:instr=" PAGE   \* MERGEFORMAT ">
          <w:r w:rsidR="00C47D9E">
            <w:rPr>
              <w:noProof/>
            </w:rPr>
            <w:t>9</w:t>
          </w:r>
        </w:fldSimple>
      </w:p>
    </w:sdtContent>
  </w:sdt>
  <w:p w:rsidR="00BC59C3" w:rsidRDefault="00BC59C3">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6153376"/>
      <w:docPartObj>
        <w:docPartGallery w:val="Page Numbers (Top of Page)"/>
        <w:docPartUnique/>
      </w:docPartObj>
    </w:sdtPr>
    <w:sdtContent>
      <w:p w:rsidR="00BC59C3" w:rsidRDefault="00BC59C3">
        <w:pPr>
          <w:pStyle w:val="Header"/>
          <w:jc w:val="center"/>
          <w:rPr>
            <w:lang w:val="vi-VN"/>
          </w:rPr>
        </w:pPr>
      </w:p>
      <w:p w:rsidR="00BC59C3" w:rsidRDefault="00BC59C3">
        <w:pPr>
          <w:pStyle w:val="Header"/>
          <w:jc w:val="center"/>
          <w:rPr>
            <w:lang w:val="vi-VN"/>
          </w:rPr>
        </w:pPr>
      </w:p>
      <w:p w:rsidR="00BC59C3" w:rsidRDefault="00CD12A1">
        <w:pPr>
          <w:pStyle w:val="Header"/>
          <w:jc w:val="center"/>
        </w:pPr>
        <w:fldSimple w:instr=" PAGE   \* MERGEFORMAT ">
          <w:r w:rsidR="00C47D9E">
            <w:rPr>
              <w:noProof/>
            </w:rPr>
            <w:t>6</w:t>
          </w:r>
        </w:fldSimple>
      </w:p>
    </w:sdtContent>
  </w:sdt>
  <w:p w:rsidR="00BC59C3" w:rsidRDefault="00BC59C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C386F"/>
    <w:multiLevelType w:val="hybridMultilevel"/>
    <w:tmpl w:val="FA4E159A"/>
    <w:lvl w:ilvl="0" w:tplc="C3344704">
      <w:start w:val="1"/>
      <w:numFmt w:val="bullet"/>
      <w:lvlText w:val="-"/>
      <w:lvlJc w:val="left"/>
      <w:pPr>
        <w:ind w:left="1410" w:hanging="360"/>
      </w:pPr>
      <w:rPr>
        <w:rFonts w:ascii="Times New Roman" w:eastAsia="Arial" w:hAnsi="Times New Roman" w:cs="Times New Roman" w:hint="default"/>
      </w:rPr>
    </w:lvl>
    <w:lvl w:ilvl="1" w:tplc="042A0003" w:tentative="1">
      <w:start w:val="1"/>
      <w:numFmt w:val="bullet"/>
      <w:lvlText w:val="o"/>
      <w:lvlJc w:val="left"/>
      <w:pPr>
        <w:ind w:left="2130" w:hanging="360"/>
      </w:pPr>
      <w:rPr>
        <w:rFonts w:ascii="Courier New" w:hAnsi="Courier New" w:cs="Courier New" w:hint="default"/>
      </w:rPr>
    </w:lvl>
    <w:lvl w:ilvl="2" w:tplc="042A0005" w:tentative="1">
      <w:start w:val="1"/>
      <w:numFmt w:val="bullet"/>
      <w:lvlText w:val=""/>
      <w:lvlJc w:val="left"/>
      <w:pPr>
        <w:ind w:left="2850" w:hanging="360"/>
      </w:pPr>
      <w:rPr>
        <w:rFonts w:ascii="Wingdings" w:hAnsi="Wingdings" w:hint="default"/>
      </w:rPr>
    </w:lvl>
    <w:lvl w:ilvl="3" w:tplc="042A0001" w:tentative="1">
      <w:start w:val="1"/>
      <w:numFmt w:val="bullet"/>
      <w:lvlText w:val=""/>
      <w:lvlJc w:val="left"/>
      <w:pPr>
        <w:ind w:left="3570" w:hanging="360"/>
      </w:pPr>
      <w:rPr>
        <w:rFonts w:ascii="Symbol" w:hAnsi="Symbol" w:hint="default"/>
      </w:rPr>
    </w:lvl>
    <w:lvl w:ilvl="4" w:tplc="042A0003" w:tentative="1">
      <w:start w:val="1"/>
      <w:numFmt w:val="bullet"/>
      <w:lvlText w:val="o"/>
      <w:lvlJc w:val="left"/>
      <w:pPr>
        <w:ind w:left="4290" w:hanging="360"/>
      </w:pPr>
      <w:rPr>
        <w:rFonts w:ascii="Courier New" w:hAnsi="Courier New" w:cs="Courier New" w:hint="default"/>
      </w:rPr>
    </w:lvl>
    <w:lvl w:ilvl="5" w:tplc="042A0005" w:tentative="1">
      <w:start w:val="1"/>
      <w:numFmt w:val="bullet"/>
      <w:lvlText w:val=""/>
      <w:lvlJc w:val="left"/>
      <w:pPr>
        <w:ind w:left="5010" w:hanging="360"/>
      </w:pPr>
      <w:rPr>
        <w:rFonts w:ascii="Wingdings" w:hAnsi="Wingdings" w:hint="default"/>
      </w:rPr>
    </w:lvl>
    <w:lvl w:ilvl="6" w:tplc="042A0001" w:tentative="1">
      <w:start w:val="1"/>
      <w:numFmt w:val="bullet"/>
      <w:lvlText w:val=""/>
      <w:lvlJc w:val="left"/>
      <w:pPr>
        <w:ind w:left="5730" w:hanging="360"/>
      </w:pPr>
      <w:rPr>
        <w:rFonts w:ascii="Symbol" w:hAnsi="Symbol" w:hint="default"/>
      </w:rPr>
    </w:lvl>
    <w:lvl w:ilvl="7" w:tplc="042A0003" w:tentative="1">
      <w:start w:val="1"/>
      <w:numFmt w:val="bullet"/>
      <w:lvlText w:val="o"/>
      <w:lvlJc w:val="left"/>
      <w:pPr>
        <w:ind w:left="6450" w:hanging="360"/>
      </w:pPr>
      <w:rPr>
        <w:rFonts w:ascii="Courier New" w:hAnsi="Courier New" w:cs="Courier New" w:hint="default"/>
      </w:rPr>
    </w:lvl>
    <w:lvl w:ilvl="8" w:tplc="042A0005" w:tentative="1">
      <w:start w:val="1"/>
      <w:numFmt w:val="bullet"/>
      <w:lvlText w:val=""/>
      <w:lvlJc w:val="left"/>
      <w:pPr>
        <w:ind w:left="7170" w:hanging="360"/>
      </w:pPr>
      <w:rPr>
        <w:rFonts w:ascii="Wingdings" w:hAnsi="Wingdings" w:hint="default"/>
      </w:rPr>
    </w:lvl>
  </w:abstractNum>
  <w:abstractNum w:abstractNumId="1">
    <w:nsid w:val="283C4A0C"/>
    <w:multiLevelType w:val="hybridMultilevel"/>
    <w:tmpl w:val="BB2E4FF4"/>
    <w:lvl w:ilvl="0" w:tplc="9E828EFC">
      <w:start w:val="3"/>
      <w:numFmt w:val="bullet"/>
      <w:lvlText w:val="-"/>
      <w:lvlJc w:val="left"/>
      <w:pPr>
        <w:ind w:left="1080" w:hanging="360"/>
      </w:pPr>
      <w:rPr>
        <w:rFonts w:ascii="Times New Roman" w:eastAsia="MS Mincho"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nsid w:val="2E6102F9"/>
    <w:multiLevelType w:val="hybridMultilevel"/>
    <w:tmpl w:val="9BF6AE36"/>
    <w:lvl w:ilvl="0" w:tplc="EED03BB4">
      <w:start w:val="1"/>
      <w:numFmt w:val="lowerLetter"/>
      <w:lvlText w:val="%1."/>
      <w:lvlJc w:val="left"/>
      <w:pPr>
        <w:ind w:left="1080" w:hanging="360"/>
      </w:pPr>
      <w:rPr>
        <w:rFonts w:hint="default"/>
        <w:lang w:val="da-DK"/>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3">
    <w:nsid w:val="389F5FD7"/>
    <w:multiLevelType w:val="hybridMultilevel"/>
    <w:tmpl w:val="24F0936C"/>
    <w:lvl w:ilvl="0" w:tplc="A80665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9A91688"/>
    <w:multiLevelType w:val="hybridMultilevel"/>
    <w:tmpl w:val="FFA0603E"/>
    <w:lvl w:ilvl="0" w:tplc="5BEAA9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3E36D13"/>
    <w:multiLevelType w:val="hybridMultilevel"/>
    <w:tmpl w:val="10A4A854"/>
    <w:lvl w:ilvl="0" w:tplc="247C264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0817A66"/>
    <w:multiLevelType w:val="hybridMultilevel"/>
    <w:tmpl w:val="B62EB70E"/>
    <w:lvl w:ilvl="0" w:tplc="1CB246CE">
      <w:start w:val="2"/>
      <w:numFmt w:val="bullet"/>
      <w:lvlText w:val=""/>
      <w:lvlJc w:val="left"/>
      <w:pPr>
        <w:ind w:left="1080" w:hanging="360"/>
      </w:pPr>
      <w:rPr>
        <w:rFonts w:ascii="Symbol" w:eastAsia="MS Mincho" w:hAnsi="Symbol" w:cs="Times New Roman" w:hint="default"/>
        <w:b w:val="0"/>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7">
    <w:nsid w:val="65E4285B"/>
    <w:multiLevelType w:val="hybridMultilevel"/>
    <w:tmpl w:val="476A2572"/>
    <w:lvl w:ilvl="0" w:tplc="151AC6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6B9D2A10"/>
    <w:multiLevelType w:val="hybridMultilevel"/>
    <w:tmpl w:val="BF48C6F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nsid w:val="6E8A75D4"/>
    <w:multiLevelType w:val="hybridMultilevel"/>
    <w:tmpl w:val="408818A8"/>
    <w:lvl w:ilvl="0" w:tplc="C49E9C0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num w:numId="1">
    <w:abstractNumId w:val="5"/>
  </w:num>
  <w:num w:numId="2">
    <w:abstractNumId w:val="4"/>
  </w:num>
  <w:num w:numId="3">
    <w:abstractNumId w:val="0"/>
  </w:num>
  <w:num w:numId="4">
    <w:abstractNumId w:val="3"/>
  </w:num>
  <w:num w:numId="5">
    <w:abstractNumId w:val="2"/>
  </w:num>
  <w:num w:numId="6">
    <w:abstractNumId w:val="9"/>
  </w:num>
  <w:num w:numId="7">
    <w:abstractNumId w:val="8"/>
  </w:num>
  <w:num w:numId="8">
    <w:abstractNumId w:val="6"/>
  </w:num>
  <w:num w:numId="9">
    <w:abstractNumId w:val="1"/>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rsids>
    <w:rsidRoot w:val="00DF2AA3"/>
    <w:rsid w:val="00000609"/>
    <w:rsid w:val="00000D27"/>
    <w:rsid w:val="00013948"/>
    <w:rsid w:val="00021A63"/>
    <w:rsid w:val="00026B8C"/>
    <w:rsid w:val="00031E92"/>
    <w:rsid w:val="000428D7"/>
    <w:rsid w:val="000541CD"/>
    <w:rsid w:val="0005592B"/>
    <w:rsid w:val="00062586"/>
    <w:rsid w:val="000658BE"/>
    <w:rsid w:val="00066F8A"/>
    <w:rsid w:val="0006714E"/>
    <w:rsid w:val="00070CCC"/>
    <w:rsid w:val="000760B3"/>
    <w:rsid w:val="00081AE3"/>
    <w:rsid w:val="000A0EF3"/>
    <w:rsid w:val="000B1FE4"/>
    <w:rsid w:val="000B2C0D"/>
    <w:rsid w:val="000B7B54"/>
    <w:rsid w:val="000C11FD"/>
    <w:rsid w:val="000C66C1"/>
    <w:rsid w:val="000C6BB2"/>
    <w:rsid w:val="000C7D58"/>
    <w:rsid w:val="000D2684"/>
    <w:rsid w:val="000E0849"/>
    <w:rsid w:val="000E2543"/>
    <w:rsid w:val="000E719C"/>
    <w:rsid w:val="000F1493"/>
    <w:rsid w:val="001008E8"/>
    <w:rsid w:val="0010098A"/>
    <w:rsid w:val="001047A5"/>
    <w:rsid w:val="00106C43"/>
    <w:rsid w:val="001115B6"/>
    <w:rsid w:val="00117F2A"/>
    <w:rsid w:val="00123796"/>
    <w:rsid w:val="001335F5"/>
    <w:rsid w:val="00134DCF"/>
    <w:rsid w:val="001514FE"/>
    <w:rsid w:val="001654E0"/>
    <w:rsid w:val="0016669E"/>
    <w:rsid w:val="0017155B"/>
    <w:rsid w:val="00171D7B"/>
    <w:rsid w:val="001803C1"/>
    <w:rsid w:val="00180868"/>
    <w:rsid w:val="00190B4E"/>
    <w:rsid w:val="00192C9C"/>
    <w:rsid w:val="00194EDE"/>
    <w:rsid w:val="001A2CB2"/>
    <w:rsid w:val="001A301F"/>
    <w:rsid w:val="001A4FCB"/>
    <w:rsid w:val="001A7132"/>
    <w:rsid w:val="001B7FD2"/>
    <w:rsid w:val="001C0AB4"/>
    <w:rsid w:val="001C1651"/>
    <w:rsid w:val="001C554F"/>
    <w:rsid w:val="002070BE"/>
    <w:rsid w:val="0020750B"/>
    <w:rsid w:val="00207FBD"/>
    <w:rsid w:val="00224D72"/>
    <w:rsid w:val="0023184E"/>
    <w:rsid w:val="00236D9D"/>
    <w:rsid w:val="00245753"/>
    <w:rsid w:val="0024754A"/>
    <w:rsid w:val="00252A33"/>
    <w:rsid w:val="00254820"/>
    <w:rsid w:val="00257EDD"/>
    <w:rsid w:val="002604B5"/>
    <w:rsid w:val="00261E95"/>
    <w:rsid w:val="00274996"/>
    <w:rsid w:val="002A2527"/>
    <w:rsid w:val="002A4269"/>
    <w:rsid w:val="002B735F"/>
    <w:rsid w:val="002C29E5"/>
    <w:rsid w:val="002C5FDC"/>
    <w:rsid w:val="002C5FE1"/>
    <w:rsid w:val="002D00CC"/>
    <w:rsid w:val="002E4E0A"/>
    <w:rsid w:val="002E5C0C"/>
    <w:rsid w:val="002F0227"/>
    <w:rsid w:val="002F27E2"/>
    <w:rsid w:val="00302F27"/>
    <w:rsid w:val="00310FF5"/>
    <w:rsid w:val="00313A8B"/>
    <w:rsid w:val="00313FF2"/>
    <w:rsid w:val="00324041"/>
    <w:rsid w:val="00331E9B"/>
    <w:rsid w:val="00342798"/>
    <w:rsid w:val="00344F5F"/>
    <w:rsid w:val="0034612B"/>
    <w:rsid w:val="00347B21"/>
    <w:rsid w:val="003523B5"/>
    <w:rsid w:val="00370464"/>
    <w:rsid w:val="00376815"/>
    <w:rsid w:val="00381CB6"/>
    <w:rsid w:val="0039126E"/>
    <w:rsid w:val="0039345B"/>
    <w:rsid w:val="003A69B6"/>
    <w:rsid w:val="003B3820"/>
    <w:rsid w:val="003B78C1"/>
    <w:rsid w:val="003C1544"/>
    <w:rsid w:val="003C1744"/>
    <w:rsid w:val="003C1BE3"/>
    <w:rsid w:val="003C2D9E"/>
    <w:rsid w:val="003C3255"/>
    <w:rsid w:val="003D0D20"/>
    <w:rsid w:val="003D1EF3"/>
    <w:rsid w:val="003F2A2A"/>
    <w:rsid w:val="003F2D63"/>
    <w:rsid w:val="003F2F18"/>
    <w:rsid w:val="003F3402"/>
    <w:rsid w:val="003F51A6"/>
    <w:rsid w:val="004144B5"/>
    <w:rsid w:val="00416162"/>
    <w:rsid w:val="004377D6"/>
    <w:rsid w:val="00440137"/>
    <w:rsid w:val="004458B3"/>
    <w:rsid w:val="00447133"/>
    <w:rsid w:val="00450660"/>
    <w:rsid w:val="00450FE9"/>
    <w:rsid w:val="00453FAA"/>
    <w:rsid w:val="00457710"/>
    <w:rsid w:val="00461881"/>
    <w:rsid w:val="00467683"/>
    <w:rsid w:val="00472D98"/>
    <w:rsid w:val="00477FB1"/>
    <w:rsid w:val="00482EF0"/>
    <w:rsid w:val="00483AF8"/>
    <w:rsid w:val="00485653"/>
    <w:rsid w:val="004923F9"/>
    <w:rsid w:val="004A004D"/>
    <w:rsid w:val="004A6919"/>
    <w:rsid w:val="004B53EE"/>
    <w:rsid w:val="004C1DCC"/>
    <w:rsid w:val="004C3C53"/>
    <w:rsid w:val="004C5895"/>
    <w:rsid w:val="004D10F6"/>
    <w:rsid w:val="004E2CAD"/>
    <w:rsid w:val="004F46D2"/>
    <w:rsid w:val="004F7607"/>
    <w:rsid w:val="00514AC1"/>
    <w:rsid w:val="00514BB9"/>
    <w:rsid w:val="00515A7B"/>
    <w:rsid w:val="0052441B"/>
    <w:rsid w:val="00533956"/>
    <w:rsid w:val="005367CB"/>
    <w:rsid w:val="00543571"/>
    <w:rsid w:val="00544A53"/>
    <w:rsid w:val="005538D6"/>
    <w:rsid w:val="00554334"/>
    <w:rsid w:val="0056117E"/>
    <w:rsid w:val="00583E20"/>
    <w:rsid w:val="005952C8"/>
    <w:rsid w:val="005B1B07"/>
    <w:rsid w:val="005B77ED"/>
    <w:rsid w:val="005D1153"/>
    <w:rsid w:val="005D2B9E"/>
    <w:rsid w:val="005E57E8"/>
    <w:rsid w:val="005F5DA0"/>
    <w:rsid w:val="005F7C31"/>
    <w:rsid w:val="00604AEB"/>
    <w:rsid w:val="00607BFE"/>
    <w:rsid w:val="00610500"/>
    <w:rsid w:val="00625AEA"/>
    <w:rsid w:val="00626B5F"/>
    <w:rsid w:val="006370ED"/>
    <w:rsid w:val="00640850"/>
    <w:rsid w:val="0064102A"/>
    <w:rsid w:val="00641E07"/>
    <w:rsid w:val="00651C21"/>
    <w:rsid w:val="00665A14"/>
    <w:rsid w:val="00672995"/>
    <w:rsid w:val="0067516E"/>
    <w:rsid w:val="00686F22"/>
    <w:rsid w:val="006B1875"/>
    <w:rsid w:val="006B1E90"/>
    <w:rsid w:val="006B2F0A"/>
    <w:rsid w:val="006B43A6"/>
    <w:rsid w:val="006D5128"/>
    <w:rsid w:val="006D5A7D"/>
    <w:rsid w:val="006E52E4"/>
    <w:rsid w:val="006F1A1D"/>
    <w:rsid w:val="006F2583"/>
    <w:rsid w:val="006F2D9E"/>
    <w:rsid w:val="006F66C0"/>
    <w:rsid w:val="00701EC4"/>
    <w:rsid w:val="0070610F"/>
    <w:rsid w:val="007063F9"/>
    <w:rsid w:val="00711BF5"/>
    <w:rsid w:val="00713C02"/>
    <w:rsid w:val="007209F0"/>
    <w:rsid w:val="00722054"/>
    <w:rsid w:val="0073322C"/>
    <w:rsid w:val="00746FB0"/>
    <w:rsid w:val="00755EF6"/>
    <w:rsid w:val="0075649D"/>
    <w:rsid w:val="00756C36"/>
    <w:rsid w:val="00784647"/>
    <w:rsid w:val="0079697B"/>
    <w:rsid w:val="00796ADE"/>
    <w:rsid w:val="007A05ED"/>
    <w:rsid w:val="007A1E78"/>
    <w:rsid w:val="007A3AFC"/>
    <w:rsid w:val="007B0A2E"/>
    <w:rsid w:val="007C6E13"/>
    <w:rsid w:val="007D4FB1"/>
    <w:rsid w:val="007D509A"/>
    <w:rsid w:val="007D679C"/>
    <w:rsid w:val="007E0B64"/>
    <w:rsid w:val="007E50DA"/>
    <w:rsid w:val="007F48EF"/>
    <w:rsid w:val="007F65C5"/>
    <w:rsid w:val="00801743"/>
    <w:rsid w:val="0080416B"/>
    <w:rsid w:val="00811986"/>
    <w:rsid w:val="00815CFD"/>
    <w:rsid w:val="00816B44"/>
    <w:rsid w:val="00817117"/>
    <w:rsid w:val="008224F9"/>
    <w:rsid w:val="0082338F"/>
    <w:rsid w:val="0082391B"/>
    <w:rsid w:val="00840CAF"/>
    <w:rsid w:val="008422A8"/>
    <w:rsid w:val="0084492C"/>
    <w:rsid w:val="00854CC3"/>
    <w:rsid w:val="00857679"/>
    <w:rsid w:val="008673EA"/>
    <w:rsid w:val="008729BD"/>
    <w:rsid w:val="0088163C"/>
    <w:rsid w:val="00887082"/>
    <w:rsid w:val="00894248"/>
    <w:rsid w:val="008A4542"/>
    <w:rsid w:val="008A7217"/>
    <w:rsid w:val="008B37B7"/>
    <w:rsid w:val="008C2ECA"/>
    <w:rsid w:val="008C426D"/>
    <w:rsid w:val="008C4B8D"/>
    <w:rsid w:val="008E07D1"/>
    <w:rsid w:val="008E79BC"/>
    <w:rsid w:val="008F172D"/>
    <w:rsid w:val="008F1B96"/>
    <w:rsid w:val="008F374E"/>
    <w:rsid w:val="008F6CD2"/>
    <w:rsid w:val="008F75E8"/>
    <w:rsid w:val="0091108A"/>
    <w:rsid w:val="0091235F"/>
    <w:rsid w:val="0091397D"/>
    <w:rsid w:val="00915556"/>
    <w:rsid w:val="00921C1B"/>
    <w:rsid w:val="009227F3"/>
    <w:rsid w:val="00925DFC"/>
    <w:rsid w:val="00932837"/>
    <w:rsid w:val="009578CC"/>
    <w:rsid w:val="0096285B"/>
    <w:rsid w:val="0096429C"/>
    <w:rsid w:val="009654CC"/>
    <w:rsid w:val="00966AEF"/>
    <w:rsid w:val="00970649"/>
    <w:rsid w:val="00974E46"/>
    <w:rsid w:val="00977FC5"/>
    <w:rsid w:val="00980AE4"/>
    <w:rsid w:val="00991F93"/>
    <w:rsid w:val="00994CC2"/>
    <w:rsid w:val="00997A36"/>
    <w:rsid w:val="009A5415"/>
    <w:rsid w:val="009A5D14"/>
    <w:rsid w:val="009B211C"/>
    <w:rsid w:val="009B4319"/>
    <w:rsid w:val="009C030E"/>
    <w:rsid w:val="009C11CD"/>
    <w:rsid w:val="009C554B"/>
    <w:rsid w:val="009C5ECE"/>
    <w:rsid w:val="009C7D3F"/>
    <w:rsid w:val="009D0122"/>
    <w:rsid w:val="009D0830"/>
    <w:rsid w:val="009F365A"/>
    <w:rsid w:val="00A018C0"/>
    <w:rsid w:val="00A13450"/>
    <w:rsid w:val="00A14E43"/>
    <w:rsid w:val="00A16080"/>
    <w:rsid w:val="00A17AEA"/>
    <w:rsid w:val="00A20894"/>
    <w:rsid w:val="00A2323E"/>
    <w:rsid w:val="00A339E2"/>
    <w:rsid w:val="00A442CB"/>
    <w:rsid w:val="00A50452"/>
    <w:rsid w:val="00A65FB2"/>
    <w:rsid w:val="00A706A8"/>
    <w:rsid w:val="00A70CEE"/>
    <w:rsid w:val="00A82F0F"/>
    <w:rsid w:val="00AA1A4A"/>
    <w:rsid w:val="00AA1F46"/>
    <w:rsid w:val="00AA4213"/>
    <w:rsid w:val="00AA6E99"/>
    <w:rsid w:val="00AA7ABF"/>
    <w:rsid w:val="00AB06E2"/>
    <w:rsid w:val="00AB139C"/>
    <w:rsid w:val="00AB5746"/>
    <w:rsid w:val="00AB6156"/>
    <w:rsid w:val="00AD3524"/>
    <w:rsid w:val="00AD5D3A"/>
    <w:rsid w:val="00AE3A68"/>
    <w:rsid w:val="00AE6B2A"/>
    <w:rsid w:val="00B02E7D"/>
    <w:rsid w:val="00B078AA"/>
    <w:rsid w:val="00B118A9"/>
    <w:rsid w:val="00B250D1"/>
    <w:rsid w:val="00B415B7"/>
    <w:rsid w:val="00B42FF4"/>
    <w:rsid w:val="00B44835"/>
    <w:rsid w:val="00B47FF5"/>
    <w:rsid w:val="00B53116"/>
    <w:rsid w:val="00B5351B"/>
    <w:rsid w:val="00B53A08"/>
    <w:rsid w:val="00B56A89"/>
    <w:rsid w:val="00B70F81"/>
    <w:rsid w:val="00B721B1"/>
    <w:rsid w:val="00B81E91"/>
    <w:rsid w:val="00B8302C"/>
    <w:rsid w:val="00BA5C39"/>
    <w:rsid w:val="00BB1721"/>
    <w:rsid w:val="00BB6D8D"/>
    <w:rsid w:val="00BC0FF5"/>
    <w:rsid w:val="00BC1758"/>
    <w:rsid w:val="00BC3CE2"/>
    <w:rsid w:val="00BC4608"/>
    <w:rsid w:val="00BC59C3"/>
    <w:rsid w:val="00BC6BB5"/>
    <w:rsid w:val="00BE0998"/>
    <w:rsid w:val="00BE19D9"/>
    <w:rsid w:val="00BF0310"/>
    <w:rsid w:val="00BF1497"/>
    <w:rsid w:val="00C13660"/>
    <w:rsid w:val="00C2358B"/>
    <w:rsid w:val="00C27572"/>
    <w:rsid w:val="00C30C38"/>
    <w:rsid w:val="00C30D89"/>
    <w:rsid w:val="00C32C2A"/>
    <w:rsid w:val="00C36A44"/>
    <w:rsid w:val="00C44191"/>
    <w:rsid w:val="00C47D9E"/>
    <w:rsid w:val="00C756EC"/>
    <w:rsid w:val="00C776C8"/>
    <w:rsid w:val="00C77A78"/>
    <w:rsid w:val="00C83569"/>
    <w:rsid w:val="00C8531A"/>
    <w:rsid w:val="00C921A6"/>
    <w:rsid w:val="00CB4BAD"/>
    <w:rsid w:val="00CB546C"/>
    <w:rsid w:val="00CB7662"/>
    <w:rsid w:val="00CC0728"/>
    <w:rsid w:val="00CC5F32"/>
    <w:rsid w:val="00CD0ED1"/>
    <w:rsid w:val="00CD12A1"/>
    <w:rsid w:val="00CD5D52"/>
    <w:rsid w:val="00CF5E0A"/>
    <w:rsid w:val="00D04E15"/>
    <w:rsid w:val="00D11A41"/>
    <w:rsid w:val="00D170CE"/>
    <w:rsid w:val="00D2013C"/>
    <w:rsid w:val="00D20DCA"/>
    <w:rsid w:val="00D211FC"/>
    <w:rsid w:val="00D21F0C"/>
    <w:rsid w:val="00D24C33"/>
    <w:rsid w:val="00D319A4"/>
    <w:rsid w:val="00D32F37"/>
    <w:rsid w:val="00D53B87"/>
    <w:rsid w:val="00D540D2"/>
    <w:rsid w:val="00D57C6E"/>
    <w:rsid w:val="00D608E5"/>
    <w:rsid w:val="00D6626E"/>
    <w:rsid w:val="00D736CB"/>
    <w:rsid w:val="00D74DD4"/>
    <w:rsid w:val="00D91479"/>
    <w:rsid w:val="00D92A00"/>
    <w:rsid w:val="00D96CB9"/>
    <w:rsid w:val="00D97BC1"/>
    <w:rsid w:val="00DA34EB"/>
    <w:rsid w:val="00DA696B"/>
    <w:rsid w:val="00DB33BB"/>
    <w:rsid w:val="00DC437D"/>
    <w:rsid w:val="00DC5CEE"/>
    <w:rsid w:val="00DD191B"/>
    <w:rsid w:val="00DD4139"/>
    <w:rsid w:val="00DD5903"/>
    <w:rsid w:val="00DE19EC"/>
    <w:rsid w:val="00DE388F"/>
    <w:rsid w:val="00DF2AA3"/>
    <w:rsid w:val="00E04864"/>
    <w:rsid w:val="00E115B4"/>
    <w:rsid w:val="00E11902"/>
    <w:rsid w:val="00E12BD9"/>
    <w:rsid w:val="00E13F30"/>
    <w:rsid w:val="00E178F4"/>
    <w:rsid w:val="00E22100"/>
    <w:rsid w:val="00E2455A"/>
    <w:rsid w:val="00E250D0"/>
    <w:rsid w:val="00E25E1D"/>
    <w:rsid w:val="00E33E8A"/>
    <w:rsid w:val="00E416E2"/>
    <w:rsid w:val="00E42426"/>
    <w:rsid w:val="00E4510A"/>
    <w:rsid w:val="00E468F9"/>
    <w:rsid w:val="00E818CC"/>
    <w:rsid w:val="00E83F59"/>
    <w:rsid w:val="00E84A87"/>
    <w:rsid w:val="00E913F8"/>
    <w:rsid w:val="00E91C4A"/>
    <w:rsid w:val="00E929AE"/>
    <w:rsid w:val="00E936F0"/>
    <w:rsid w:val="00EA59E1"/>
    <w:rsid w:val="00EC47EC"/>
    <w:rsid w:val="00EC62FB"/>
    <w:rsid w:val="00ED0652"/>
    <w:rsid w:val="00ED5A95"/>
    <w:rsid w:val="00EF0BBB"/>
    <w:rsid w:val="00F04890"/>
    <w:rsid w:val="00F1768D"/>
    <w:rsid w:val="00F242A2"/>
    <w:rsid w:val="00F31E80"/>
    <w:rsid w:val="00F33108"/>
    <w:rsid w:val="00F40D0C"/>
    <w:rsid w:val="00F43E00"/>
    <w:rsid w:val="00F47DD5"/>
    <w:rsid w:val="00F535BB"/>
    <w:rsid w:val="00F61298"/>
    <w:rsid w:val="00F61663"/>
    <w:rsid w:val="00F62AF4"/>
    <w:rsid w:val="00F74CF6"/>
    <w:rsid w:val="00F848C2"/>
    <w:rsid w:val="00F90574"/>
    <w:rsid w:val="00FA0F2F"/>
    <w:rsid w:val="00FC6D14"/>
    <w:rsid w:val="00FE11CF"/>
    <w:rsid w:val="00FF5108"/>
    <w:rsid w:val="00FF70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2" type="connector" idref="#AutoShape 4"/>
        <o:r id="V:Rule4"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2586"/>
  </w:style>
  <w:style w:type="paragraph" w:styleId="Heading1">
    <w:name w:val="heading 1"/>
    <w:basedOn w:val="Normal"/>
    <w:next w:val="Normal"/>
    <w:link w:val="Heading1Char"/>
    <w:qFormat/>
    <w:rsid w:val="00641E07"/>
    <w:pPr>
      <w:keepNext/>
      <w:spacing w:after="0" w:line="240" w:lineRule="auto"/>
      <w:outlineLvl w:val="0"/>
    </w:pPr>
    <w:rPr>
      <w:rFonts w:ascii=".VnTime" w:eastAsia="Times New Roman" w:hAnsi=".VnTime" w:cs="Times New Roman"/>
      <w:i/>
      <w:iCs/>
      <w:sz w:val="26"/>
      <w:szCs w:val="26"/>
    </w:rPr>
  </w:style>
  <w:style w:type="paragraph" w:styleId="Heading2">
    <w:name w:val="heading 2"/>
    <w:basedOn w:val="Normal"/>
    <w:next w:val="Normal"/>
    <w:link w:val="Heading2Char"/>
    <w:uiPriority w:val="9"/>
    <w:unhideWhenUsed/>
    <w:qFormat/>
    <w:rsid w:val="00066F8A"/>
    <w:pPr>
      <w:keepNext/>
      <w:keepLines/>
      <w:spacing w:before="200" w:after="0"/>
      <w:outlineLvl w:val="1"/>
    </w:pPr>
    <w:rPr>
      <w:rFonts w:ascii="Times New Roman" w:eastAsia="Times New Roman" w:hAnsi="Times New Roman" w:cs="Times New Roman"/>
      <w:b/>
      <w:bCs/>
      <w:color w:val="4F81BD"/>
      <w:sz w:val="26"/>
      <w:szCs w:val="26"/>
    </w:rPr>
  </w:style>
  <w:style w:type="paragraph" w:styleId="Heading3">
    <w:name w:val="heading 3"/>
    <w:basedOn w:val="Normal"/>
    <w:next w:val="Normal"/>
    <w:link w:val="Heading3Char"/>
    <w:qFormat/>
    <w:rsid w:val="00641E07"/>
    <w:pPr>
      <w:keepNext/>
      <w:spacing w:after="0" w:line="240" w:lineRule="auto"/>
      <w:jc w:val="center"/>
      <w:outlineLvl w:val="2"/>
    </w:pPr>
    <w:rPr>
      <w:rFonts w:ascii=".VnTimeH" w:eastAsia="Times New Roman" w:hAnsi=".VnTimeH" w:cs="Times New Roman"/>
      <w:b/>
      <w:sz w:val="24"/>
      <w:szCs w:val="20"/>
    </w:rPr>
  </w:style>
  <w:style w:type="paragraph" w:styleId="Heading4">
    <w:name w:val="heading 4"/>
    <w:basedOn w:val="Normal"/>
    <w:next w:val="Normal"/>
    <w:link w:val="Heading4Char"/>
    <w:uiPriority w:val="9"/>
    <w:semiHidden/>
    <w:unhideWhenUsed/>
    <w:qFormat/>
    <w:rsid w:val="00641E07"/>
    <w:pPr>
      <w:keepNext/>
      <w:spacing w:before="240" w:after="60"/>
      <w:outlineLvl w:val="3"/>
    </w:pPr>
    <w:rPr>
      <w:rFonts w:ascii="Calibri" w:eastAsia="Times New Roman" w:hAnsi="Calibri" w:cs="Times New Roman"/>
      <w:b/>
      <w:bCs/>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2AA3"/>
    <w:pPr>
      <w:ind w:left="720"/>
      <w:contextualSpacing/>
    </w:pPr>
  </w:style>
  <w:style w:type="paragraph" w:styleId="NormalWeb">
    <w:name w:val="Normal (Web)"/>
    <w:basedOn w:val="Normal"/>
    <w:link w:val="NormalWebChar"/>
    <w:uiPriority w:val="99"/>
    <w:rsid w:val="00FE11C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locked/>
    <w:rsid w:val="00FE11CF"/>
    <w:rPr>
      <w:rFonts w:ascii="Times New Roman" w:eastAsia="Times New Roman" w:hAnsi="Times New Roman" w:cs="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A"/>
    <w:basedOn w:val="Normal"/>
    <w:link w:val="FootnoteTextChar"/>
    <w:unhideWhenUsed/>
    <w:qFormat/>
    <w:rsid w:val="00C30D89"/>
    <w:pPr>
      <w:spacing w:after="0" w:line="240" w:lineRule="auto"/>
    </w:pPr>
    <w:rPr>
      <w:rFonts w:ascii="Arial" w:eastAsia="Arial" w:hAnsi="Arial" w:cs="Times New Roman"/>
      <w:sz w:val="24"/>
      <w:szCs w:val="24"/>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A Char"/>
    <w:basedOn w:val="DefaultParagraphFont"/>
    <w:link w:val="FootnoteText"/>
    <w:qFormat/>
    <w:rsid w:val="00C30D89"/>
    <w:rPr>
      <w:rFonts w:ascii="Arial" w:eastAsia="Arial" w:hAnsi="Arial" w:cs="Times New Roman"/>
      <w:sz w:val="24"/>
      <w:szCs w:val="24"/>
    </w:rPr>
  </w:style>
  <w:style w:type="character" w:styleId="FootnoteReference">
    <w:name w:val="footnote reference"/>
    <w:aliases w:val="Footnote text,ftref,Footnote Text1,f,BearingPoint,Ref,de nota al pie,BVI fnr,16 Point,Superscript 6 Point,fr,Footnote + Arial,10 pt,Black,Footnote Text11,(NECG) Footnote Reference, BVI fnr,footnote ref,Footnote Ref in FtNote,Footnote"/>
    <w:basedOn w:val="DefaultParagraphFont"/>
    <w:link w:val="CharChar1CharCharCharChar1CharCharCharCharCharCharCharChar"/>
    <w:uiPriority w:val="99"/>
    <w:unhideWhenUsed/>
    <w:qFormat/>
    <w:rsid w:val="00C30D89"/>
    <w:rPr>
      <w:vertAlign w:val="superscript"/>
    </w:rPr>
  </w:style>
  <w:style w:type="paragraph" w:styleId="Header">
    <w:name w:val="header"/>
    <w:basedOn w:val="Normal"/>
    <w:link w:val="HeaderChar"/>
    <w:uiPriority w:val="99"/>
    <w:unhideWhenUsed/>
    <w:rsid w:val="00C36A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C36A44"/>
  </w:style>
  <w:style w:type="paragraph" w:styleId="Footer">
    <w:name w:val="footer"/>
    <w:basedOn w:val="Normal"/>
    <w:link w:val="FooterChar"/>
    <w:uiPriority w:val="99"/>
    <w:unhideWhenUsed/>
    <w:rsid w:val="00C36A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C36A44"/>
  </w:style>
  <w:style w:type="character" w:customStyle="1" w:styleId="apple-converted-space">
    <w:name w:val="apple-converted-space"/>
    <w:basedOn w:val="DefaultParagraphFont"/>
    <w:rsid w:val="008F6CD2"/>
  </w:style>
  <w:style w:type="character" w:customStyle="1" w:styleId="normal-h1">
    <w:name w:val="normal-h1"/>
    <w:rsid w:val="008224F9"/>
    <w:rPr>
      <w:rFonts w:ascii="Times New Roman" w:hAnsi="Times New Roman" w:cs="Times New Roman"/>
      <w:sz w:val="28"/>
      <w:szCs w:val="28"/>
    </w:rPr>
  </w:style>
  <w:style w:type="character" w:customStyle="1" w:styleId="Heading2Char">
    <w:name w:val="Heading 2 Char"/>
    <w:basedOn w:val="DefaultParagraphFont"/>
    <w:link w:val="Heading2"/>
    <w:uiPriority w:val="9"/>
    <w:rsid w:val="00066F8A"/>
    <w:rPr>
      <w:rFonts w:ascii="Times New Roman" w:eastAsia="Times New Roman" w:hAnsi="Times New Roman" w:cs="Times New Roman"/>
      <w:b/>
      <w:bCs/>
      <w:color w:val="4F81BD"/>
      <w:sz w:val="26"/>
      <w:szCs w:val="26"/>
    </w:rPr>
  </w:style>
  <w:style w:type="paragraph" w:styleId="BalloonText">
    <w:name w:val="Balloon Text"/>
    <w:basedOn w:val="Normal"/>
    <w:link w:val="BalloonTextChar"/>
    <w:uiPriority w:val="99"/>
    <w:semiHidden/>
    <w:unhideWhenUsed/>
    <w:rsid w:val="004923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23F9"/>
    <w:rPr>
      <w:rFonts w:ascii="Tahoma" w:hAnsi="Tahoma" w:cs="Tahoma"/>
      <w:sz w:val="16"/>
      <w:szCs w:val="16"/>
    </w:rPr>
  </w:style>
  <w:style w:type="character" w:styleId="CommentReference">
    <w:name w:val="annotation reference"/>
    <w:uiPriority w:val="99"/>
    <w:unhideWhenUsed/>
    <w:rsid w:val="004923F9"/>
    <w:rPr>
      <w:sz w:val="16"/>
      <w:szCs w:val="16"/>
    </w:rPr>
  </w:style>
  <w:style w:type="paragraph" w:styleId="CommentText">
    <w:name w:val="annotation text"/>
    <w:basedOn w:val="Normal"/>
    <w:link w:val="CommentTextChar"/>
    <w:uiPriority w:val="99"/>
    <w:unhideWhenUsed/>
    <w:rsid w:val="004923F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4923F9"/>
    <w:rPr>
      <w:rFonts w:ascii="Times New Roman" w:eastAsia="Times New Roman" w:hAnsi="Times New Roman" w:cs="Times New Roman"/>
      <w:sz w:val="20"/>
      <w:szCs w:val="20"/>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811986"/>
    <w:pPr>
      <w:spacing w:after="160" w:line="240" w:lineRule="exact"/>
    </w:pPr>
    <w:rPr>
      <w:vertAlign w:val="superscript"/>
    </w:rPr>
  </w:style>
  <w:style w:type="character" w:customStyle="1" w:styleId="Heading1Char">
    <w:name w:val="Heading 1 Char"/>
    <w:basedOn w:val="DefaultParagraphFont"/>
    <w:link w:val="Heading1"/>
    <w:rsid w:val="00641E07"/>
    <w:rPr>
      <w:rFonts w:ascii=".VnTime" w:eastAsia="Times New Roman" w:hAnsi=".VnTime" w:cs="Times New Roman"/>
      <w:i/>
      <w:iCs/>
      <w:sz w:val="26"/>
      <w:szCs w:val="26"/>
    </w:rPr>
  </w:style>
  <w:style w:type="character" w:customStyle="1" w:styleId="Heading3Char">
    <w:name w:val="Heading 3 Char"/>
    <w:basedOn w:val="DefaultParagraphFont"/>
    <w:link w:val="Heading3"/>
    <w:rsid w:val="00641E07"/>
    <w:rPr>
      <w:rFonts w:ascii=".VnTimeH" w:eastAsia="Times New Roman" w:hAnsi=".VnTimeH" w:cs="Times New Roman"/>
      <w:b/>
      <w:sz w:val="24"/>
      <w:szCs w:val="20"/>
    </w:rPr>
  </w:style>
  <w:style w:type="character" w:customStyle="1" w:styleId="Heading4Char">
    <w:name w:val="Heading 4 Char"/>
    <w:basedOn w:val="DefaultParagraphFont"/>
    <w:link w:val="Heading4"/>
    <w:uiPriority w:val="9"/>
    <w:semiHidden/>
    <w:rsid w:val="00641E07"/>
    <w:rPr>
      <w:rFonts w:ascii="Calibri" w:eastAsia="Times New Roman" w:hAnsi="Calibri" w:cs="Times New Roman"/>
      <w:b/>
      <w:bCs/>
      <w:sz w:val="28"/>
      <w:szCs w:val="28"/>
      <w:lang w:val="vi-VN"/>
    </w:rPr>
  </w:style>
  <w:style w:type="character" w:customStyle="1" w:styleId="FooterChar1">
    <w:name w:val="Footer Char1"/>
    <w:basedOn w:val="DefaultParagraphFont"/>
    <w:uiPriority w:val="99"/>
    <w:semiHidden/>
    <w:rsid w:val="00641E07"/>
  </w:style>
  <w:style w:type="character" w:customStyle="1" w:styleId="BodyTextIndentChar">
    <w:name w:val="Body Text Indent Char"/>
    <w:link w:val="BodyTextIndent"/>
    <w:rsid w:val="00641E07"/>
    <w:rPr>
      <w:rFonts w:ascii=".VnTime" w:eastAsia="Arial" w:hAnsi=".VnTime" w:cs=".VnTime"/>
      <w:sz w:val="28"/>
      <w:szCs w:val="28"/>
    </w:rPr>
  </w:style>
  <w:style w:type="paragraph" w:styleId="BodyTextIndent">
    <w:name w:val="Body Text Indent"/>
    <w:basedOn w:val="Normal"/>
    <w:link w:val="BodyTextIndentChar"/>
    <w:rsid w:val="00641E07"/>
    <w:pPr>
      <w:autoSpaceDE w:val="0"/>
      <w:autoSpaceDN w:val="0"/>
      <w:spacing w:before="240" w:after="120" w:line="240" w:lineRule="auto"/>
      <w:ind w:firstLine="540"/>
      <w:jc w:val="both"/>
    </w:pPr>
    <w:rPr>
      <w:rFonts w:ascii=".VnTime" w:eastAsia="Arial" w:hAnsi=".VnTime" w:cs=".VnTime"/>
      <w:sz w:val="28"/>
      <w:szCs w:val="28"/>
    </w:rPr>
  </w:style>
  <w:style w:type="character" w:customStyle="1" w:styleId="BodyTextIndentChar1">
    <w:name w:val="Body Text Indent Char1"/>
    <w:basedOn w:val="DefaultParagraphFont"/>
    <w:uiPriority w:val="99"/>
    <w:semiHidden/>
    <w:rsid w:val="00641E07"/>
  </w:style>
  <w:style w:type="character" w:customStyle="1" w:styleId="BalloonTextChar1">
    <w:name w:val="Balloon Text Char1"/>
    <w:uiPriority w:val="99"/>
    <w:semiHidden/>
    <w:rsid w:val="00641E07"/>
    <w:rPr>
      <w:rFonts w:ascii="Tahoma" w:hAnsi="Tahoma" w:cs="Tahoma"/>
      <w:sz w:val="16"/>
      <w:szCs w:val="16"/>
    </w:rPr>
  </w:style>
  <w:style w:type="character" w:customStyle="1" w:styleId="BodyTextChar">
    <w:name w:val="Body Text Char"/>
    <w:link w:val="BodyText"/>
    <w:rsid w:val="00641E07"/>
    <w:rPr>
      <w:rFonts w:ascii=".VnTime" w:eastAsia="Times New Roman" w:hAnsi=".VnTime" w:cs=".VnTime"/>
      <w:sz w:val="28"/>
      <w:szCs w:val="28"/>
    </w:rPr>
  </w:style>
  <w:style w:type="paragraph" w:styleId="BodyText">
    <w:name w:val="Body Text"/>
    <w:basedOn w:val="Normal"/>
    <w:link w:val="BodyTextChar"/>
    <w:rsid w:val="00641E07"/>
    <w:pPr>
      <w:autoSpaceDE w:val="0"/>
      <w:autoSpaceDN w:val="0"/>
      <w:spacing w:after="240" w:line="240" w:lineRule="auto"/>
      <w:jc w:val="both"/>
    </w:pPr>
    <w:rPr>
      <w:rFonts w:ascii=".VnTime" w:eastAsia="Times New Roman" w:hAnsi=".VnTime" w:cs=".VnTime"/>
      <w:sz w:val="28"/>
      <w:szCs w:val="28"/>
    </w:rPr>
  </w:style>
  <w:style w:type="character" w:customStyle="1" w:styleId="BodyTextChar1">
    <w:name w:val="Body Text Char1"/>
    <w:basedOn w:val="DefaultParagraphFont"/>
    <w:uiPriority w:val="99"/>
    <w:semiHidden/>
    <w:rsid w:val="00641E07"/>
  </w:style>
  <w:style w:type="character" w:customStyle="1" w:styleId="FootnoteTextChar1">
    <w:name w:val="Footnote Text Char1"/>
    <w:uiPriority w:val="99"/>
    <w:semiHidden/>
    <w:rsid w:val="00641E07"/>
    <w:rPr>
      <w:sz w:val="20"/>
      <w:szCs w:val="20"/>
    </w:rPr>
  </w:style>
  <w:style w:type="character" w:customStyle="1" w:styleId="BodyTextIndent2Char">
    <w:name w:val="Body Text Indent 2 Char"/>
    <w:link w:val="BodyTextIndent2"/>
    <w:rsid w:val="00641E07"/>
    <w:rPr>
      <w:rFonts w:ascii=".VnTime" w:eastAsia="Times New Roman" w:hAnsi=".VnTime" w:cs=".VnTime"/>
      <w:sz w:val="28"/>
      <w:szCs w:val="28"/>
    </w:rPr>
  </w:style>
  <w:style w:type="paragraph" w:styleId="BodyTextIndent2">
    <w:name w:val="Body Text Indent 2"/>
    <w:basedOn w:val="Normal"/>
    <w:link w:val="BodyTextIndent2Char"/>
    <w:rsid w:val="00641E07"/>
    <w:pPr>
      <w:autoSpaceDE w:val="0"/>
      <w:autoSpaceDN w:val="0"/>
      <w:spacing w:before="120" w:after="120" w:line="240" w:lineRule="auto"/>
      <w:ind w:firstLine="720"/>
      <w:jc w:val="both"/>
    </w:pPr>
    <w:rPr>
      <w:rFonts w:ascii=".VnTime" w:eastAsia="Times New Roman" w:hAnsi=".VnTime" w:cs=".VnTime"/>
      <w:sz w:val="28"/>
      <w:szCs w:val="28"/>
    </w:rPr>
  </w:style>
  <w:style w:type="character" w:customStyle="1" w:styleId="BodyTextIndent2Char1">
    <w:name w:val="Body Text Indent 2 Char1"/>
    <w:basedOn w:val="DefaultParagraphFont"/>
    <w:uiPriority w:val="99"/>
    <w:semiHidden/>
    <w:rsid w:val="00641E07"/>
  </w:style>
  <w:style w:type="paragraph" w:customStyle="1" w:styleId="1chinhtrang">
    <w:name w:val="1 chinh trang"/>
    <w:basedOn w:val="Normal"/>
    <w:rsid w:val="00641E07"/>
    <w:pPr>
      <w:widowControl w:val="0"/>
      <w:spacing w:before="60" w:after="60" w:line="264" w:lineRule="auto"/>
      <w:ind w:firstLine="567"/>
      <w:jc w:val="both"/>
    </w:pPr>
    <w:rPr>
      <w:rFonts w:ascii=".VnCentury Schoolbook" w:eastAsia="Times New Roman" w:hAnsi=".VnCentury Schoolbook" w:cs="Times New Roman"/>
      <w:color w:val="000000"/>
    </w:rPr>
  </w:style>
  <w:style w:type="character" w:styleId="PageNumber">
    <w:name w:val="page number"/>
    <w:uiPriority w:val="99"/>
    <w:rsid w:val="00641E07"/>
    <w:rPr>
      <w:rFonts w:cs="Times New Roman"/>
    </w:rPr>
  </w:style>
  <w:style w:type="paragraph" w:customStyle="1" w:styleId="CharCharCharCharCharCharChar">
    <w:name w:val="Char Char Char Char Char Char Char"/>
    <w:basedOn w:val="Normal"/>
    <w:next w:val="Normal"/>
    <w:autoRedefine/>
    <w:semiHidden/>
    <w:rsid w:val="00641E07"/>
    <w:pPr>
      <w:spacing w:before="120" w:after="120" w:line="312" w:lineRule="auto"/>
    </w:pPr>
    <w:rPr>
      <w:rFonts w:ascii="Times New Roman" w:eastAsia="Times New Roman" w:hAnsi="Times New Roman" w:cs="Times New Roman"/>
      <w:sz w:val="28"/>
      <w:szCs w:val="28"/>
    </w:rPr>
  </w:style>
  <w:style w:type="table" w:styleId="TableGrid">
    <w:name w:val="Table Grid"/>
    <w:basedOn w:val="TableNormal"/>
    <w:uiPriority w:val="59"/>
    <w:rsid w:val="00641E07"/>
    <w:pPr>
      <w:spacing w:after="0" w:line="240" w:lineRule="auto"/>
    </w:pPr>
    <w:rPr>
      <w:rFonts w:ascii="Times New Roman" w:eastAsia="Batang" w:hAnsi="Times New Roman" w:cs="Times New Roman"/>
      <w:sz w:val="20"/>
      <w:szCs w:val="20"/>
      <w:lang w:eastAsia="vi-V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1CharCharCharCharCharCharChar">
    <w:name w:val="Char Char Char Char Char1 Char Char Char Char Char Char Char"/>
    <w:autoRedefine/>
    <w:rsid w:val="00641E07"/>
    <w:pPr>
      <w:tabs>
        <w:tab w:val="left" w:pos="1152"/>
      </w:tabs>
      <w:spacing w:before="120" w:after="120" w:line="312" w:lineRule="auto"/>
    </w:pPr>
    <w:rPr>
      <w:rFonts w:ascii="Arial" w:eastAsia="Times New Roman" w:hAnsi="Arial" w:cs="Arial"/>
      <w:sz w:val="26"/>
      <w:szCs w:val="26"/>
    </w:rPr>
  </w:style>
  <w:style w:type="paragraph" w:styleId="List2">
    <w:name w:val="List 2"/>
    <w:basedOn w:val="Normal"/>
    <w:rsid w:val="00641E07"/>
    <w:pPr>
      <w:spacing w:after="0" w:line="240" w:lineRule="auto"/>
      <w:ind w:left="720" w:hanging="360"/>
    </w:pPr>
    <w:rPr>
      <w:rFonts w:ascii="Times New Roman" w:eastAsia="Times New Roman" w:hAnsi="Times New Roman" w:cs="Times New Roman"/>
      <w:sz w:val="24"/>
      <w:szCs w:val="24"/>
    </w:rPr>
  </w:style>
  <w:style w:type="paragraph" w:styleId="BodyText3">
    <w:name w:val="Body Text 3"/>
    <w:basedOn w:val="Normal"/>
    <w:link w:val="BodyText3Char"/>
    <w:unhideWhenUsed/>
    <w:rsid w:val="00641E07"/>
    <w:pPr>
      <w:spacing w:after="120" w:line="240" w:lineRule="auto"/>
    </w:pPr>
    <w:rPr>
      <w:rFonts w:ascii="Times New Roman" w:eastAsia="MS Mincho" w:hAnsi="Times New Roman" w:cs="Times New Roman"/>
      <w:sz w:val="16"/>
      <w:szCs w:val="16"/>
      <w:lang w:eastAsia="ja-JP"/>
    </w:rPr>
  </w:style>
  <w:style w:type="character" w:customStyle="1" w:styleId="BodyText3Char">
    <w:name w:val="Body Text 3 Char"/>
    <w:basedOn w:val="DefaultParagraphFont"/>
    <w:link w:val="BodyText3"/>
    <w:rsid w:val="00641E07"/>
    <w:rPr>
      <w:rFonts w:ascii="Times New Roman" w:eastAsia="MS Mincho" w:hAnsi="Times New Roman" w:cs="Times New Roman"/>
      <w:sz w:val="16"/>
      <w:szCs w:val="16"/>
      <w:lang w:eastAsia="ja-JP"/>
    </w:rPr>
  </w:style>
  <w:style w:type="paragraph" w:styleId="BodyTextIndent3">
    <w:name w:val="Body Text Indent 3"/>
    <w:basedOn w:val="Normal"/>
    <w:link w:val="BodyTextIndent3Char"/>
    <w:rsid w:val="00641E07"/>
    <w:pPr>
      <w:spacing w:after="0" w:line="240" w:lineRule="auto"/>
      <w:ind w:firstLine="720"/>
      <w:jc w:val="center"/>
    </w:pPr>
    <w:rPr>
      <w:rFonts w:ascii=".VnTimeH" w:eastAsia="Times New Roman" w:hAnsi=".VnTimeH" w:cs="Times New Roman"/>
      <w:b/>
      <w:sz w:val="28"/>
      <w:szCs w:val="20"/>
    </w:rPr>
  </w:style>
  <w:style w:type="character" w:customStyle="1" w:styleId="BodyTextIndent3Char">
    <w:name w:val="Body Text Indent 3 Char"/>
    <w:basedOn w:val="DefaultParagraphFont"/>
    <w:link w:val="BodyTextIndent3"/>
    <w:rsid w:val="00641E07"/>
    <w:rPr>
      <w:rFonts w:ascii=".VnTimeH" w:eastAsia="Times New Roman" w:hAnsi=".VnTimeH" w:cs="Times New Roman"/>
      <w:b/>
      <w:sz w:val="28"/>
      <w:szCs w:val="20"/>
    </w:rPr>
  </w:style>
  <w:style w:type="paragraph" w:customStyle="1" w:styleId="n-dieund">
    <w:name w:val="n-dieund"/>
    <w:basedOn w:val="Normal"/>
    <w:rsid w:val="00641E07"/>
    <w:pPr>
      <w:spacing w:after="120" w:line="240" w:lineRule="auto"/>
      <w:ind w:firstLine="709"/>
      <w:jc w:val="both"/>
    </w:pPr>
    <w:rPr>
      <w:rFonts w:ascii=".VnTime" w:eastAsia="Times New Roman" w:hAnsi=".VnTime" w:cs="Times New Roman"/>
      <w:sz w:val="28"/>
      <w:szCs w:val="20"/>
    </w:rPr>
  </w:style>
  <w:style w:type="character" w:styleId="Strong">
    <w:name w:val="Strong"/>
    <w:uiPriority w:val="22"/>
    <w:qFormat/>
    <w:rsid w:val="00641E07"/>
    <w:rPr>
      <w:b/>
      <w:bCs/>
    </w:rPr>
  </w:style>
  <w:style w:type="character" w:styleId="Hyperlink">
    <w:name w:val="Hyperlink"/>
    <w:uiPriority w:val="99"/>
    <w:unhideWhenUsed/>
    <w:rsid w:val="00641E07"/>
    <w:rPr>
      <w:color w:val="0000FF"/>
      <w:u w:val="single"/>
    </w:rPr>
  </w:style>
  <w:style w:type="paragraph" w:styleId="CommentSubject">
    <w:name w:val="annotation subject"/>
    <w:basedOn w:val="CommentText"/>
    <w:next w:val="CommentText"/>
    <w:link w:val="CommentSubjectChar"/>
    <w:uiPriority w:val="99"/>
    <w:semiHidden/>
    <w:unhideWhenUsed/>
    <w:rsid w:val="00641E07"/>
    <w:pPr>
      <w:spacing w:after="200" w:line="276" w:lineRule="auto"/>
    </w:pPr>
    <w:rPr>
      <w:rFonts w:ascii="Arial" w:eastAsia="Arial" w:hAnsi="Arial"/>
      <w:b/>
      <w:bCs/>
      <w:lang w:val="vi-VN"/>
    </w:rPr>
  </w:style>
  <w:style w:type="character" w:customStyle="1" w:styleId="CommentSubjectChar">
    <w:name w:val="Comment Subject Char"/>
    <w:basedOn w:val="CommentTextChar"/>
    <w:link w:val="CommentSubject"/>
    <w:uiPriority w:val="99"/>
    <w:semiHidden/>
    <w:rsid w:val="00641E07"/>
    <w:rPr>
      <w:rFonts w:ascii="Arial" w:eastAsia="Arial" w:hAnsi="Arial" w:cs="Times New Roman"/>
      <w:b/>
      <w:bCs/>
      <w:sz w:val="20"/>
      <w:szCs w:val="20"/>
      <w:lang w:val="vi-VN"/>
    </w:rPr>
  </w:style>
  <w:style w:type="paragraph" w:styleId="Revision">
    <w:name w:val="Revision"/>
    <w:hidden/>
    <w:uiPriority w:val="99"/>
    <w:semiHidden/>
    <w:rsid w:val="00641E07"/>
    <w:pPr>
      <w:spacing w:after="0" w:line="240" w:lineRule="auto"/>
    </w:pPr>
    <w:rPr>
      <w:rFonts w:ascii="Arial" w:eastAsia="Arial" w:hAnsi="Arial" w:cs="Times New Roman"/>
      <w:lang w:val="vi-VN"/>
    </w:rPr>
  </w:style>
  <w:style w:type="paragraph" w:styleId="DocumentMap">
    <w:name w:val="Document Map"/>
    <w:basedOn w:val="Normal"/>
    <w:link w:val="DocumentMapChar"/>
    <w:uiPriority w:val="99"/>
    <w:semiHidden/>
    <w:unhideWhenUsed/>
    <w:rsid w:val="00D540D2"/>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540D2"/>
    <w:rPr>
      <w:rFonts w:ascii="Tahoma" w:hAnsi="Tahoma" w:cs="Tahoma"/>
      <w:sz w:val="16"/>
      <w:szCs w:val="16"/>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BVI fnr Char1,ftre"/>
    <w:basedOn w:val="Normal"/>
    <w:uiPriority w:val="99"/>
    <w:qFormat/>
    <w:rsid w:val="00932837"/>
    <w:pPr>
      <w:spacing w:before="100" w:after="0" w:line="240" w:lineRule="exact"/>
    </w:pPr>
    <w:rPr>
      <w:rFonts w:ascii="Times New Roman" w:eastAsia="Calibri" w:hAnsi="Times New Roman" w:cs="Times New Roman"/>
      <w:sz w:val="20"/>
      <w:szCs w:val="20"/>
      <w:vertAlign w:val="superscript"/>
    </w:rPr>
  </w:style>
  <w:style w:type="paragraph" w:customStyle="1" w:styleId="Char">
    <w:name w:val="Char"/>
    <w:basedOn w:val="Normal"/>
    <w:autoRedefine/>
    <w:rsid w:val="00932837"/>
    <w:pPr>
      <w:spacing w:after="160" w:line="240" w:lineRule="exact"/>
    </w:pPr>
    <w:rPr>
      <w:rFonts w:ascii="Verdana" w:eastAsia="Times New Roman" w:hAnsi="Verdana" w:cs="Verdana"/>
      <w:sz w:val="20"/>
      <w:szCs w:val="20"/>
    </w:rPr>
  </w:style>
</w:styles>
</file>

<file path=word/webSettings.xml><?xml version="1.0" encoding="utf-8"?>
<w:webSettings xmlns:r="http://schemas.openxmlformats.org/officeDocument/2006/relationships" xmlns:w="http://schemas.openxmlformats.org/wordprocessingml/2006/main">
  <w:divs>
    <w:div w:id="46216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C9057-7866-42D2-A004-38872CCBF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394</TotalTime>
  <Pages>15</Pages>
  <Words>4712</Words>
  <Characters>26860</Characters>
  <Application>Microsoft Office Word</Application>
  <DocSecurity>0</DocSecurity>
  <Lines>223</Lines>
  <Paragraphs>63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31509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Le Phuong</dc:creator>
  <cp:lastModifiedBy>Vo Le Phuong</cp:lastModifiedBy>
  <cp:revision>4</cp:revision>
  <cp:lastPrinted>2025-12-15T09:03:00Z</cp:lastPrinted>
  <dcterms:created xsi:type="dcterms:W3CDTF">2025-12-10T09:44:00Z</dcterms:created>
  <dcterms:modified xsi:type="dcterms:W3CDTF">2025-12-15T10:09:00Z</dcterms:modified>
</cp:coreProperties>
</file>